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23" w:rsidRPr="0097251A" w:rsidRDefault="007E3A23" w:rsidP="00CC5183">
      <w:pPr>
        <w:jc w:val="center"/>
        <w:rPr>
          <w:rFonts w:ascii="Arial" w:hAnsi="Arial" w:cs="Arial"/>
          <w:b/>
          <w:sz w:val="22"/>
          <w:szCs w:val="22"/>
        </w:rPr>
      </w:pPr>
      <w:r w:rsidRPr="0097251A">
        <w:rPr>
          <w:rFonts w:ascii="Arial" w:hAnsi="Arial" w:cs="Arial"/>
          <w:b/>
          <w:sz w:val="22"/>
          <w:szCs w:val="22"/>
        </w:rPr>
        <w:t>OBRAZLOŽENJE UZ</w:t>
      </w:r>
      <w:r w:rsidR="00EC621B">
        <w:rPr>
          <w:rFonts w:ascii="Arial" w:hAnsi="Arial" w:cs="Arial"/>
          <w:b/>
          <w:sz w:val="22"/>
          <w:szCs w:val="22"/>
        </w:rPr>
        <w:t xml:space="preserve"> </w:t>
      </w:r>
      <w:r w:rsidR="00BB22A0">
        <w:rPr>
          <w:rFonts w:ascii="Arial" w:hAnsi="Arial" w:cs="Arial"/>
          <w:b/>
          <w:sz w:val="22"/>
          <w:szCs w:val="22"/>
        </w:rPr>
        <w:t xml:space="preserve">TREĆE </w:t>
      </w:r>
      <w:r w:rsidRPr="0097251A">
        <w:rPr>
          <w:rFonts w:ascii="Arial" w:hAnsi="Arial" w:cs="Arial"/>
          <w:b/>
          <w:sz w:val="22"/>
          <w:szCs w:val="22"/>
        </w:rPr>
        <w:t xml:space="preserve">IZMJENE I DOPUNE PRORAČUNA </w:t>
      </w:r>
    </w:p>
    <w:p w:rsidR="007E3A23" w:rsidRPr="0021700D" w:rsidRDefault="007E3A23" w:rsidP="00CC5183">
      <w:pPr>
        <w:jc w:val="center"/>
        <w:rPr>
          <w:rFonts w:ascii="Arial" w:hAnsi="Arial" w:cs="Arial"/>
          <w:b/>
          <w:sz w:val="22"/>
          <w:szCs w:val="22"/>
        </w:rPr>
      </w:pPr>
      <w:r w:rsidRPr="0097251A">
        <w:rPr>
          <w:rFonts w:ascii="Arial" w:hAnsi="Arial" w:cs="Arial"/>
          <w:b/>
          <w:sz w:val="22"/>
          <w:szCs w:val="22"/>
        </w:rPr>
        <w:t>ISTARSKE ŽUPANIJE ZA 20</w:t>
      </w:r>
      <w:r w:rsidR="00810CD1">
        <w:rPr>
          <w:rFonts w:ascii="Arial" w:hAnsi="Arial" w:cs="Arial"/>
          <w:b/>
          <w:sz w:val="22"/>
          <w:szCs w:val="22"/>
        </w:rPr>
        <w:t>2</w:t>
      </w:r>
      <w:r w:rsidR="00EC621B">
        <w:rPr>
          <w:rFonts w:ascii="Arial" w:hAnsi="Arial" w:cs="Arial"/>
          <w:b/>
          <w:sz w:val="22"/>
          <w:szCs w:val="22"/>
        </w:rPr>
        <w:t>2</w:t>
      </w:r>
      <w:r w:rsidRPr="0097251A">
        <w:rPr>
          <w:rFonts w:ascii="Arial" w:hAnsi="Arial" w:cs="Arial"/>
          <w:b/>
          <w:sz w:val="22"/>
          <w:szCs w:val="22"/>
        </w:rPr>
        <w:t>. GODINU</w:t>
      </w:r>
    </w:p>
    <w:p w:rsidR="007E3A23" w:rsidRPr="00A0475C" w:rsidRDefault="007E3A23" w:rsidP="00CC5183">
      <w:pPr>
        <w:outlineLvl w:val="0"/>
        <w:rPr>
          <w:rFonts w:ascii="Arial" w:hAnsi="Arial" w:cs="Arial"/>
          <w:sz w:val="22"/>
          <w:szCs w:val="22"/>
        </w:rPr>
      </w:pPr>
    </w:p>
    <w:p w:rsidR="007E3A23" w:rsidRDefault="0097251A" w:rsidP="00CC5183">
      <w:pPr>
        <w:jc w:val="both"/>
        <w:rPr>
          <w:rFonts w:ascii="Arial" w:hAnsi="Arial" w:cs="Arial"/>
          <w:sz w:val="22"/>
          <w:szCs w:val="22"/>
        </w:rPr>
      </w:pPr>
      <w:r w:rsidRPr="001513EB">
        <w:rPr>
          <w:rFonts w:ascii="Arial" w:hAnsi="Arial" w:cs="Arial"/>
          <w:sz w:val="22"/>
          <w:szCs w:val="22"/>
        </w:rPr>
        <w:t xml:space="preserve">Prijedlog </w:t>
      </w:r>
      <w:r w:rsidR="001513EB">
        <w:rPr>
          <w:rFonts w:ascii="Arial" w:hAnsi="Arial" w:cs="Arial"/>
          <w:sz w:val="22"/>
          <w:szCs w:val="22"/>
        </w:rPr>
        <w:t xml:space="preserve">trećih </w:t>
      </w:r>
      <w:r w:rsidR="006C2BD5" w:rsidRPr="001513EB">
        <w:rPr>
          <w:rFonts w:ascii="Arial" w:hAnsi="Arial" w:cs="Arial"/>
          <w:sz w:val="22"/>
          <w:szCs w:val="22"/>
        </w:rPr>
        <w:t>i</w:t>
      </w:r>
      <w:r w:rsidR="007E3A23" w:rsidRPr="001513EB">
        <w:rPr>
          <w:rFonts w:ascii="Arial" w:hAnsi="Arial" w:cs="Arial"/>
          <w:sz w:val="22"/>
          <w:szCs w:val="22"/>
        </w:rPr>
        <w:t>zmjena i dopuna pro</w:t>
      </w:r>
      <w:r w:rsidR="002140AF" w:rsidRPr="001513EB">
        <w:rPr>
          <w:rFonts w:ascii="Arial" w:hAnsi="Arial" w:cs="Arial"/>
          <w:sz w:val="22"/>
          <w:szCs w:val="22"/>
        </w:rPr>
        <w:t>računa Istarske županije za 20</w:t>
      </w:r>
      <w:r w:rsidR="00A0475C" w:rsidRPr="001513EB">
        <w:rPr>
          <w:rFonts w:ascii="Arial" w:hAnsi="Arial" w:cs="Arial"/>
          <w:sz w:val="22"/>
          <w:szCs w:val="22"/>
        </w:rPr>
        <w:t>2</w:t>
      </w:r>
      <w:r w:rsidR="00EC621B" w:rsidRPr="001513EB">
        <w:rPr>
          <w:rFonts w:ascii="Arial" w:hAnsi="Arial" w:cs="Arial"/>
          <w:sz w:val="22"/>
          <w:szCs w:val="22"/>
        </w:rPr>
        <w:t>2</w:t>
      </w:r>
      <w:r w:rsidR="007E3A23" w:rsidRPr="001513EB">
        <w:rPr>
          <w:rFonts w:ascii="Arial" w:hAnsi="Arial" w:cs="Arial"/>
          <w:sz w:val="22"/>
          <w:szCs w:val="22"/>
        </w:rPr>
        <w:t xml:space="preserve">. godinu iznosi </w:t>
      </w:r>
      <w:r w:rsidR="00C61109" w:rsidRPr="001513EB">
        <w:rPr>
          <w:rFonts w:ascii="Arial" w:hAnsi="Arial" w:cs="Arial"/>
          <w:sz w:val="22"/>
          <w:szCs w:val="22"/>
        </w:rPr>
        <w:t>1.</w:t>
      </w:r>
      <w:r w:rsidR="00781349" w:rsidRPr="001513EB">
        <w:rPr>
          <w:rFonts w:ascii="Arial" w:hAnsi="Arial" w:cs="Arial"/>
          <w:sz w:val="22"/>
          <w:szCs w:val="22"/>
        </w:rPr>
        <w:t>7</w:t>
      </w:r>
      <w:r w:rsidR="001513EB" w:rsidRPr="001513EB">
        <w:rPr>
          <w:rFonts w:ascii="Arial" w:hAnsi="Arial" w:cs="Arial"/>
          <w:sz w:val="22"/>
          <w:szCs w:val="22"/>
        </w:rPr>
        <w:t>5</w:t>
      </w:r>
      <w:r w:rsidR="00111228">
        <w:rPr>
          <w:rFonts w:ascii="Arial" w:hAnsi="Arial" w:cs="Arial"/>
          <w:sz w:val="22"/>
          <w:szCs w:val="22"/>
        </w:rPr>
        <w:t>5</w:t>
      </w:r>
      <w:r w:rsidR="00E31C42" w:rsidRPr="001513EB">
        <w:rPr>
          <w:rFonts w:ascii="Arial" w:hAnsi="Arial" w:cs="Arial"/>
          <w:sz w:val="22"/>
          <w:szCs w:val="22"/>
        </w:rPr>
        <w:t>.</w:t>
      </w:r>
      <w:r w:rsidR="00111228">
        <w:rPr>
          <w:rFonts w:ascii="Arial" w:hAnsi="Arial" w:cs="Arial"/>
          <w:sz w:val="22"/>
          <w:szCs w:val="22"/>
        </w:rPr>
        <w:t>0</w:t>
      </w:r>
      <w:r w:rsidR="00781349" w:rsidRPr="001513EB">
        <w:rPr>
          <w:rFonts w:ascii="Arial" w:hAnsi="Arial" w:cs="Arial"/>
          <w:sz w:val="22"/>
          <w:szCs w:val="22"/>
        </w:rPr>
        <w:t>0</w:t>
      </w:r>
      <w:r w:rsidR="00E31C42" w:rsidRPr="001513EB">
        <w:rPr>
          <w:rFonts w:ascii="Arial" w:hAnsi="Arial" w:cs="Arial"/>
          <w:sz w:val="22"/>
          <w:szCs w:val="22"/>
        </w:rPr>
        <w:t>0.00</w:t>
      </w:r>
      <w:r w:rsidR="00C61109" w:rsidRPr="001513EB">
        <w:rPr>
          <w:rFonts w:ascii="Arial" w:hAnsi="Arial" w:cs="Arial"/>
          <w:sz w:val="22"/>
          <w:szCs w:val="22"/>
        </w:rPr>
        <w:t>0,00</w:t>
      </w:r>
      <w:r w:rsidR="00E31C42" w:rsidRPr="001513EB">
        <w:rPr>
          <w:rFonts w:ascii="Arial" w:hAnsi="Arial" w:cs="Arial"/>
          <w:sz w:val="22"/>
          <w:szCs w:val="22"/>
        </w:rPr>
        <w:t xml:space="preserve"> kn</w:t>
      </w:r>
      <w:r w:rsidR="00C61109" w:rsidRPr="001513EB">
        <w:rPr>
          <w:rFonts w:ascii="Arial" w:hAnsi="Arial" w:cs="Arial"/>
          <w:sz w:val="22"/>
          <w:szCs w:val="22"/>
        </w:rPr>
        <w:t xml:space="preserve"> </w:t>
      </w:r>
      <w:r w:rsidR="008C4E80" w:rsidRPr="001513EB">
        <w:rPr>
          <w:rFonts w:ascii="Arial" w:hAnsi="Arial" w:cs="Arial"/>
          <w:sz w:val="22"/>
          <w:szCs w:val="22"/>
        </w:rPr>
        <w:t>odnosno</w:t>
      </w:r>
      <w:r w:rsidR="006C2BD5" w:rsidRPr="001513EB">
        <w:rPr>
          <w:rFonts w:ascii="Arial" w:hAnsi="Arial" w:cs="Arial"/>
          <w:sz w:val="22"/>
          <w:szCs w:val="22"/>
        </w:rPr>
        <w:t xml:space="preserve"> za </w:t>
      </w:r>
      <w:r w:rsidR="00111228">
        <w:rPr>
          <w:rFonts w:ascii="Arial" w:hAnsi="Arial" w:cs="Arial"/>
          <w:sz w:val="22"/>
          <w:szCs w:val="22"/>
        </w:rPr>
        <w:t>22</w:t>
      </w:r>
      <w:r w:rsidR="006C2BD5" w:rsidRPr="001513EB">
        <w:rPr>
          <w:rFonts w:ascii="Arial" w:hAnsi="Arial" w:cs="Arial"/>
          <w:sz w:val="22"/>
          <w:szCs w:val="22"/>
        </w:rPr>
        <w:t>.</w:t>
      </w:r>
      <w:r w:rsidR="00111228">
        <w:rPr>
          <w:rFonts w:ascii="Arial" w:hAnsi="Arial" w:cs="Arial"/>
          <w:sz w:val="22"/>
          <w:szCs w:val="22"/>
        </w:rPr>
        <w:t>3</w:t>
      </w:r>
      <w:r w:rsidR="006C2BD5" w:rsidRPr="001513EB">
        <w:rPr>
          <w:rFonts w:ascii="Arial" w:hAnsi="Arial" w:cs="Arial"/>
          <w:sz w:val="22"/>
          <w:szCs w:val="22"/>
        </w:rPr>
        <w:t>00.</w:t>
      </w:r>
      <w:r w:rsidR="00727077" w:rsidRPr="001513EB">
        <w:rPr>
          <w:rFonts w:ascii="Arial" w:hAnsi="Arial" w:cs="Arial"/>
          <w:sz w:val="22"/>
          <w:szCs w:val="22"/>
        </w:rPr>
        <w:t xml:space="preserve">000,00 </w:t>
      </w:r>
      <w:r w:rsidR="007E3A23" w:rsidRPr="001513EB">
        <w:rPr>
          <w:rFonts w:ascii="Arial" w:hAnsi="Arial" w:cs="Arial"/>
          <w:sz w:val="22"/>
          <w:szCs w:val="22"/>
        </w:rPr>
        <w:t xml:space="preserve">kn </w:t>
      </w:r>
      <w:r w:rsidR="00781349" w:rsidRPr="001513EB">
        <w:rPr>
          <w:rFonts w:ascii="Arial" w:hAnsi="Arial" w:cs="Arial"/>
          <w:sz w:val="22"/>
          <w:szCs w:val="22"/>
        </w:rPr>
        <w:t>više</w:t>
      </w:r>
      <w:r w:rsidR="007E3A23" w:rsidRPr="001513EB">
        <w:rPr>
          <w:rFonts w:ascii="Arial" w:hAnsi="Arial" w:cs="Arial"/>
          <w:sz w:val="22"/>
          <w:szCs w:val="22"/>
        </w:rPr>
        <w:t xml:space="preserve"> u </w:t>
      </w:r>
      <w:r w:rsidR="002140AF" w:rsidRPr="001513EB">
        <w:rPr>
          <w:rFonts w:ascii="Arial" w:hAnsi="Arial" w:cs="Arial"/>
          <w:sz w:val="22"/>
          <w:szCs w:val="22"/>
        </w:rPr>
        <w:t xml:space="preserve">odnosu na </w:t>
      </w:r>
      <w:r w:rsidR="00781349" w:rsidRPr="001513EB">
        <w:rPr>
          <w:rFonts w:ascii="Arial" w:hAnsi="Arial" w:cs="Arial"/>
          <w:sz w:val="22"/>
          <w:szCs w:val="22"/>
        </w:rPr>
        <w:t>Proračun</w:t>
      </w:r>
      <w:r w:rsidR="006D0ABA" w:rsidRPr="001513EB">
        <w:rPr>
          <w:rFonts w:ascii="Arial" w:hAnsi="Arial" w:cs="Arial"/>
          <w:sz w:val="22"/>
          <w:szCs w:val="22"/>
        </w:rPr>
        <w:t>.</w:t>
      </w:r>
    </w:p>
    <w:p w:rsidR="00111228" w:rsidRDefault="00111228" w:rsidP="00CC5183">
      <w:pPr>
        <w:jc w:val="both"/>
        <w:rPr>
          <w:rFonts w:ascii="Arial" w:hAnsi="Arial" w:cs="Arial"/>
          <w:sz w:val="22"/>
          <w:szCs w:val="22"/>
        </w:rPr>
      </w:pPr>
    </w:p>
    <w:tbl>
      <w:tblPr>
        <w:tblW w:w="5000" w:type="pct"/>
        <w:tblLook w:val="04A0" w:firstRow="1" w:lastRow="0" w:firstColumn="1" w:lastColumn="0" w:noHBand="0" w:noVBand="1"/>
      </w:tblPr>
      <w:tblGrid>
        <w:gridCol w:w="3350"/>
        <w:gridCol w:w="1808"/>
        <w:gridCol w:w="1529"/>
        <w:gridCol w:w="1808"/>
      </w:tblGrid>
      <w:tr w:rsidR="00111228" w:rsidTr="0019029D">
        <w:trPr>
          <w:trHeight w:val="607"/>
        </w:trPr>
        <w:tc>
          <w:tcPr>
            <w:tcW w:w="197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1228" w:rsidRDefault="00111228">
            <w:pPr>
              <w:jc w:val="center"/>
              <w:rPr>
                <w:rFonts w:ascii="Arial" w:hAnsi="Arial" w:cs="Arial"/>
                <w:sz w:val="18"/>
                <w:szCs w:val="18"/>
              </w:rPr>
            </w:pPr>
            <w:r>
              <w:rPr>
                <w:rFonts w:ascii="Arial" w:eastAsia="Arial" w:hAnsi="Arial" w:cs="Arial"/>
                <w:sz w:val="18"/>
                <w:szCs w:val="18"/>
              </w:rPr>
              <w:t>OPIS</w:t>
            </w:r>
          </w:p>
        </w:tc>
        <w:tc>
          <w:tcPr>
            <w:tcW w:w="1064" w:type="pct"/>
            <w:tcBorders>
              <w:top w:val="single" w:sz="4" w:space="0" w:color="auto"/>
              <w:left w:val="nil"/>
              <w:bottom w:val="single" w:sz="4" w:space="0" w:color="auto"/>
              <w:right w:val="single" w:sz="4" w:space="0" w:color="auto"/>
            </w:tcBorders>
            <w:shd w:val="clear" w:color="auto" w:fill="auto"/>
            <w:vAlign w:val="bottom"/>
            <w:hideMark/>
          </w:tcPr>
          <w:p w:rsidR="00111228" w:rsidRDefault="00111228">
            <w:pPr>
              <w:jc w:val="center"/>
              <w:rPr>
                <w:rFonts w:ascii="Arial" w:hAnsi="Arial" w:cs="Arial"/>
                <w:sz w:val="18"/>
                <w:szCs w:val="18"/>
              </w:rPr>
            </w:pPr>
            <w:r>
              <w:rPr>
                <w:rFonts w:ascii="Arial" w:eastAsia="Arial" w:hAnsi="Arial" w:cs="Arial"/>
                <w:sz w:val="18"/>
                <w:szCs w:val="18"/>
              </w:rPr>
              <w:t xml:space="preserve">DRUGE IZMJENE I DOPUNE PRORAČUNA </w:t>
            </w:r>
          </w:p>
        </w:tc>
        <w:tc>
          <w:tcPr>
            <w:tcW w:w="900" w:type="pct"/>
            <w:tcBorders>
              <w:top w:val="single" w:sz="4" w:space="0" w:color="auto"/>
              <w:left w:val="nil"/>
              <w:bottom w:val="single" w:sz="4" w:space="0" w:color="auto"/>
              <w:right w:val="single" w:sz="4" w:space="0" w:color="auto"/>
            </w:tcBorders>
            <w:shd w:val="clear" w:color="auto" w:fill="auto"/>
            <w:vAlign w:val="bottom"/>
            <w:hideMark/>
          </w:tcPr>
          <w:p w:rsidR="00111228" w:rsidRDefault="00111228">
            <w:pPr>
              <w:jc w:val="center"/>
              <w:rPr>
                <w:rFonts w:ascii="Arial" w:hAnsi="Arial" w:cs="Arial"/>
                <w:sz w:val="18"/>
                <w:szCs w:val="18"/>
              </w:rPr>
            </w:pPr>
            <w:r>
              <w:rPr>
                <w:rFonts w:ascii="Arial" w:eastAsia="Arial" w:hAnsi="Arial" w:cs="Arial"/>
                <w:sz w:val="18"/>
                <w:szCs w:val="18"/>
              </w:rPr>
              <w:t>RAZLIKA</w:t>
            </w:r>
          </w:p>
        </w:tc>
        <w:tc>
          <w:tcPr>
            <w:tcW w:w="1064" w:type="pct"/>
            <w:tcBorders>
              <w:top w:val="single" w:sz="4" w:space="0" w:color="auto"/>
              <w:left w:val="nil"/>
              <w:bottom w:val="single" w:sz="4" w:space="0" w:color="auto"/>
              <w:right w:val="single" w:sz="4" w:space="0" w:color="auto"/>
            </w:tcBorders>
            <w:shd w:val="clear" w:color="auto" w:fill="auto"/>
            <w:vAlign w:val="bottom"/>
            <w:hideMark/>
          </w:tcPr>
          <w:p w:rsidR="00111228" w:rsidRDefault="00111228">
            <w:pPr>
              <w:jc w:val="center"/>
              <w:rPr>
                <w:rFonts w:ascii="Arial" w:hAnsi="Arial" w:cs="Arial"/>
                <w:sz w:val="18"/>
                <w:szCs w:val="18"/>
              </w:rPr>
            </w:pPr>
            <w:r>
              <w:rPr>
                <w:rFonts w:ascii="Arial" w:eastAsia="Arial" w:hAnsi="Arial" w:cs="Arial"/>
                <w:sz w:val="18"/>
                <w:szCs w:val="18"/>
              </w:rPr>
              <w:t xml:space="preserve">TREĆE IZMJENE I DOPUNE PRORAČUNA </w:t>
            </w:r>
          </w:p>
        </w:tc>
      </w:tr>
      <w:tr w:rsidR="00111228" w:rsidTr="00111228">
        <w:trPr>
          <w:trHeight w:val="255"/>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sz w:val="18"/>
                <w:szCs w:val="18"/>
              </w:rPr>
            </w:pPr>
            <w:r>
              <w:rPr>
                <w:rFonts w:ascii="Arial" w:eastAsia="Arial" w:hAnsi="Arial" w:cs="Arial"/>
                <w:sz w:val="18"/>
                <w:szCs w:val="18"/>
              </w:rPr>
              <w:t>UKUPNI PRIHODI</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1.648.079.305,74</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-5.792.230,70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1.642.287.075,04</w:t>
            </w:r>
          </w:p>
        </w:tc>
      </w:tr>
      <w:tr w:rsidR="00111228" w:rsidTr="00111228">
        <w:trPr>
          <w:trHeight w:val="255"/>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sz w:val="18"/>
                <w:szCs w:val="18"/>
              </w:rPr>
            </w:pPr>
            <w:r>
              <w:rPr>
                <w:rFonts w:ascii="Arial" w:eastAsia="Arial" w:hAnsi="Arial" w:cs="Arial"/>
                <w:sz w:val="18"/>
                <w:szCs w:val="18"/>
              </w:rPr>
              <w:t>VIŠAK PRETHODNIH GODINA</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36.203.694,26</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62.022.230,70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98.225.924,96</w:t>
            </w:r>
          </w:p>
        </w:tc>
      </w:tr>
      <w:tr w:rsidR="00111228" w:rsidTr="00111228">
        <w:trPr>
          <w:trHeight w:val="480"/>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sz w:val="18"/>
                <w:szCs w:val="18"/>
              </w:rPr>
            </w:pPr>
            <w:r>
              <w:rPr>
                <w:rFonts w:ascii="Arial" w:eastAsia="Arial" w:hAnsi="Arial" w:cs="Arial"/>
                <w:sz w:val="18"/>
                <w:szCs w:val="18"/>
              </w:rPr>
              <w:t>PRIMICI OD FINANCIJSKE IMOVINE I ZADUŽIVANJA</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48.417.000,00</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-33.930.000,00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14.487.000,00</w:t>
            </w:r>
          </w:p>
        </w:tc>
      </w:tr>
      <w:tr w:rsidR="00111228" w:rsidTr="00111228">
        <w:trPr>
          <w:trHeight w:val="480"/>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b/>
                <w:bCs/>
                <w:sz w:val="18"/>
                <w:szCs w:val="18"/>
              </w:rPr>
            </w:pPr>
            <w:r>
              <w:rPr>
                <w:rFonts w:ascii="Arial" w:eastAsia="Arial" w:hAnsi="Arial" w:cs="Arial"/>
                <w:b/>
                <w:bCs/>
                <w:sz w:val="18"/>
                <w:szCs w:val="18"/>
              </w:rPr>
              <w:t>UKUPNO RASPOLOŽIVA SREDSTVA</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1.732.700.000,00</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22.300.000,00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1.755.000.000,00</w:t>
            </w:r>
          </w:p>
        </w:tc>
      </w:tr>
      <w:tr w:rsidR="00111228" w:rsidTr="00111228">
        <w:trPr>
          <w:trHeight w:val="255"/>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sz w:val="18"/>
                <w:szCs w:val="18"/>
              </w:rPr>
            </w:pPr>
            <w:r>
              <w:rPr>
                <w:rFonts w:ascii="Arial" w:eastAsia="Arial" w:hAnsi="Arial" w:cs="Arial"/>
                <w:sz w:val="18"/>
                <w:szCs w:val="18"/>
              </w:rPr>
              <w:t>UKUPNI RASHODI</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1.648.556.127,42</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15.068.600,00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1.663.624.727,42</w:t>
            </w:r>
          </w:p>
        </w:tc>
      </w:tr>
      <w:tr w:rsidR="00111228" w:rsidTr="00111228">
        <w:trPr>
          <w:trHeight w:val="480"/>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sz w:val="18"/>
                <w:szCs w:val="18"/>
              </w:rPr>
            </w:pPr>
            <w:r>
              <w:rPr>
                <w:rFonts w:ascii="Arial" w:eastAsia="Arial" w:hAnsi="Arial" w:cs="Arial"/>
                <w:sz w:val="18"/>
                <w:szCs w:val="18"/>
              </w:rPr>
              <w:t>IZDACI ZA FINANCIJSKU IMOVINU I OTPLATU ZAJMOVA</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84.143.872,58</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7.231.400,00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sz w:val="18"/>
                <w:szCs w:val="18"/>
              </w:rPr>
            </w:pPr>
            <w:r>
              <w:rPr>
                <w:rFonts w:ascii="Arial" w:hAnsi="Arial" w:cs="Arial"/>
                <w:sz w:val="18"/>
                <w:szCs w:val="18"/>
              </w:rPr>
              <w:t>91.375.272,58</w:t>
            </w:r>
          </w:p>
        </w:tc>
      </w:tr>
      <w:tr w:rsidR="00111228" w:rsidTr="00111228">
        <w:trPr>
          <w:trHeight w:val="480"/>
        </w:trPr>
        <w:tc>
          <w:tcPr>
            <w:tcW w:w="1971" w:type="pct"/>
            <w:tcBorders>
              <w:top w:val="nil"/>
              <w:left w:val="single" w:sz="4" w:space="0" w:color="auto"/>
              <w:bottom w:val="single" w:sz="4" w:space="0" w:color="auto"/>
              <w:right w:val="single" w:sz="4" w:space="0" w:color="auto"/>
            </w:tcBorders>
            <w:shd w:val="clear" w:color="auto" w:fill="auto"/>
            <w:vAlign w:val="bottom"/>
            <w:hideMark/>
          </w:tcPr>
          <w:p w:rsidR="00111228" w:rsidRDefault="00111228">
            <w:pPr>
              <w:rPr>
                <w:rFonts w:ascii="Arial" w:hAnsi="Arial" w:cs="Arial"/>
                <w:b/>
                <w:bCs/>
                <w:sz w:val="18"/>
                <w:szCs w:val="18"/>
              </w:rPr>
            </w:pPr>
            <w:r>
              <w:rPr>
                <w:rFonts w:ascii="Arial" w:eastAsia="Arial" w:hAnsi="Arial" w:cs="Arial"/>
                <w:b/>
                <w:bCs/>
                <w:sz w:val="18"/>
                <w:szCs w:val="18"/>
              </w:rPr>
              <w:t>UKUPNO RASPOREĐENA SREDSTVA</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1.732.700.000,00</w:t>
            </w:r>
          </w:p>
        </w:tc>
        <w:tc>
          <w:tcPr>
            <w:tcW w:w="900"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22.300.000,00</w:t>
            </w:r>
          </w:p>
        </w:tc>
        <w:tc>
          <w:tcPr>
            <w:tcW w:w="1064" w:type="pct"/>
            <w:tcBorders>
              <w:top w:val="nil"/>
              <w:left w:val="nil"/>
              <w:bottom w:val="single" w:sz="4" w:space="0" w:color="auto"/>
              <w:right w:val="single" w:sz="4" w:space="0" w:color="auto"/>
            </w:tcBorders>
            <w:shd w:val="clear" w:color="auto" w:fill="auto"/>
            <w:vAlign w:val="bottom"/>
            <w:hideMark/>
          </w:tcPr>
          <w:p w:rsidR="00111228" w:rsidRDefault="00111228">
            <w:pPr>
              <w:jc w:val="right"/>
              <w:rPr>
                <w:rFonts w:ascii="Arial" w:hAnsi="Arial" w:cs="Arial"/>
                <w:b/>
                <w:bCs/>
                <w:sz w:val="18"/>
                <w:szCs w:val="18"/>
              </w:rPr>
            </w:pPr>
            <w:r>
              <w:rPr>
                <w:rFonts w:ascii="Arial" w:hAnsi="Arial" w:cs="Arial"/>
                <w:b/>
                <w:bCs/>
                <w:sz w:val="18"/>
                <w:szCs w:val="18"/>
              </w:rPr>
              <w:t>1.755.000.000,00</w:t>
            </w:r>
          </w:p>
        </w:tc>
      </w:tr>
    </w:tbl>
    <w:p w:rsidR="00111228" w:rsidRPr="001513EB" w:rsidRDefault="00111228" w:rsidP="00CC5183">
      <w:pPr>
        <w:jc w:val="both"/>
        <w:rPr>
          <w:rFonts w:ascii="Arial" w:hAnsi="Arial" w:cs="Arial"/>
          <w:sz w:val="22"/>
          <w:szCs w:val="22"/>
        </w:rPr>
      </w:pPr>
    </w:p>
    <w:p w:rsidR="008252CF" w:rsidRDefault="00D85D3E" w:rsidP="00B546F0">
      <w:pPr>
        <w:jc w:val="both"/>
        <w:rPr>
          <w:rFonts w:ascii="Arial" w:hAnsi="Arial" w:cs="Arial"/>
          <w:sz w:val="22"/>
          <w:szCs w:val="22"/>
        </w:rPr>
      </w:pPr>
      <w:r>
        <w:rPr>
          <w:rFonts w:ascii="Arial" w:hAnsi="Arial" w:cs="Arial"/>
          <w:sz w:val="22"/>
          <w:szCs w:val="22"/>
        </w:rPr>
        <w:t>Osnovn</w:t>
      </w:r>
      <w:r w:rsidR="008D7059">
        <w:rPr>
          <w:rFonts w:ascii="Arial" w:hAnsi="Arial" w:cs="Arial"/>
          <w:sz w:val="22"/>
          <w:szCs w:val="22"/>
        </w:rPr>
        <w:t>e</w:t>
      </w:r>
      <w:r>
        <w:rPr>
          <w:rFonts w:ascii="Arial" w:hAnsi="Arial" w:cs="Arial"/>
          <w:sz w:val="22"/>
          <w:szCs w:val="22"/>
        </w:rPr>
        <w:t xml:space="preserve"> značajk</w:t>
      </w:r>
      <w:r w:rsidR="008D7059">
        <w:rPr>
          <w:rFonts w:ascii="Arial" w:hAnsi="Arial" w:cs="Arial"/>
          <w:sz w:val="22"/>
          <w:szCs w:val="22"/>
        </w:rPr>
        <w:t>e</w:t>
      </w:r>
      <w:r w:rsidR="00BB22A0">
        <w:rPr>
          <w:rFonts w:ascii="Arial" w:hAnsi="Arial" w:cs="Arial"/>
          <w:sz w:val="22"/>
          <w:szCs w:val="22"/>
        </w:rPr>
        <w:t xml:space="preserve"> Trećih </w:t>
      </w:r>
      <w:r>
        <w:rPr>
          <w:rFonts w:ascii="Arial" w:hAnsi="Arial" w:cs="Arial"/>
          <w:sz w:val="22"/>
          <w:szCs w:val="22"/>
        </w:rPr>
        <w:t>izmjena i dopuna proračuna Istarske županije</w:t>
      </w:r>
      <w:r w:rsidR="008D7059">
        <w:rPr>
          <w:rFonts w:ascii="Arial" w:hAnsi="Arial" w:cs="Arial"/>
          <w:sz w:val="22"/>
          <w:szCs w:val="22"/>
        </w:rPr>
        <w:t xml:space="preserve"> za 2022. godinu jesu </w:t>
      </w:r>
      <w:r>
        <w:rPr>
          <w:rFonts w:ascii="Arial" w:hAnsi="Arial" w:cs="Arial"/>
          <w:sz w:val="22"/>
          <w:szCs w:val="22"/>
        </w:rPr>
        <w:t>usklađenj</w:t>
      </w:r>
      <w:r w:rsidR="008D7059">
        <w:rPr>
          <w:rFonts w:ascii="Arial" w:hAnsi="Arial" w:cs="Arial"/>
          <w:sz w:val="22"/>
          <w:szCs w:val="22"/>
        </w:rPr>
        <w:t xml:space="preserve">a programa, aktivnosti i projekata </w:t>
      </w:r>
      <w:r>
        <w:rPr>
          <w:rFonts w:ascii="Arial" w:hAnsi="Arial" w:cs="Arial"/>
          <w:sz w:val="22"/>
          <w:szCs w:val="22"/>
        </w:rPr>
        <w:t xml:space="preserve">sa </w:t>
      </w:r>
      <w:r w:rsidR="008252CF">
        <w:rPr>
          <w:rFonts w:ascii="Arial" w:hAnsi="Arial" w:cs="Arial"/>
          <w:sz w:val="22"/>
          <w:szCs w:val="22"/>
        </w:rPr>
        <w:t>procjenom ostvarenja prihoda kako kod proračunskih korisnika tako i kod Istarske županije</w:t>
      </w:r>
      <w:r>
        <w:rPr>
          <w:rFonts w:ascii="Arial" w:hAnsi="Arial" w:cs="Arial"/>
          <w:sz w:val="22"/>
          <w:szCs w:val="22"/>
        </w:rPr>
        <w:t xml:space="preserve">. </w:t>
      </w:r>
    </w:p>
    <w:p w:rsidR="00D811BF" w:rsidRDefault="00D811BF" w:rsidP="00B546F0">
      <w:pPr>
        <w:jc w:val="both"/>
        <w:rPr>
          <w:rFonts w:ascii="Arial" w:hAnsi="Arial" w:cs="Arial"/>
          <w:sz w:val="22"/>
          <w:szCs w:val="22"/>
        </w:rPr>
      </w:pPr>
    </w:p>
    <w:p w:rsidR="00387102" w:rsidRPr="00C70DDF" w:rsidRDefault="00387102" w:rsidP="00387102">
      <w:pPr>
        <w:jc w:val="center"/>
        <w:rPr>
          <w:rFonts w:ascii="Arial" w:hAnsi="Arial" w:cs="Arial"/>
          <w:sz w:val="22"/>
          <w:szCs w:val="22"/>
        </w:rPr>
      </w:pPr>
      <w:r w:rsidRPr="00C70DDF">
        <w:rPr>
          <w:rFonts w:ascii="Arial" w:hAnsi="Arial" w:cs="Arial"/>
          <w:sz w:val="22"/>
          <w:szCs w:val="22"/>
        </w:rPr>
        <w:t>PRORAČUN PREMA KORISNICIMA</w:t>
      </w:r>
    </w:p>
    <w:p w:rsidR="00805FF1" w:rsidRPr="00C70DDF" w:rsidRDefault="00805FF1" w:rsidP="00CC5183">
      <w:pPr>
        <w:jc w:val="both"/>
        <w:rPr>
          <w:rFonts w:ascii="Arial" w:hAnsi="Arial" w:cs="Arial"/>
          <w:sz w:val="22"/>
          <w:szCs w:val="22"/>
        </w:rPr>
      </w:pPr>
    </w:p>
    <w:p w:rsidR="00387102" w:rsidRPr="00C70DDF" w:rsidRDefault="00805FF1" w:rsidP="00CC5183">
      <w:pPr>
        <w:jc w:val="both"/>
        <w:rPr>
          <w:rFonts w:ascii="Arial" w:hAnsi="Arial" w:cs="Arial"/>
          <w:sz w:val="22"/>
          <w:szCs w:val="22"/>
        </w:rPr>
      </w:pPr>
      <w:r w:rsidRPr="00C70DDF">
        <w:rPr>
          <w:rFonts w:ascii="Arial" w:hAnsi="Arial" w:cs="Arial"/>
          <w:sz w:val="22"/>
          <w:szCs w:val="22"/>
        </w:rPr>
        <w:t xml:space="preserve">Programi, aktivnosti i projekti koje provode upravna tijela Istarske županije se provode u ukupnom iznosu od </w:t>
      </w:r>
      <w:r w:rsidR="00111228" w:rsidRPr="00111228">
        <w:rPr>
          <w:rFonts w:ascii="Arial" w:hAnsi="Arial" w:cs="Arial"/>
          <w:sz w:val="22"/>
          <w:szCs w:val="22"/>
        </w:rPr>
        <w:t>313.255.323,68</w:t>
      </w:r>
      <w:r w:rsidR="00111228">
        <w:rPr>
          <w:rFonts w:ascii="Arial" w:hAnsi="Arial" w:cs="Arial"/>
          <w:sz w:val="22"/>
          <w:szCs w:val="22"/>
        </w:rPr>
        <w:t xml:space="preserve"> </w:t>
      </w:r>
      <w:r w:rsidRPr="00C70DDF">
        <w:rPr>
          <w:rFonts w:ascii="Arial" w:hAnsi="Arial" w:cs="Arial"/>
          <w:sz w:val="22"/>
          <w:szCs w:val="22"/>
        </w:rPr>
        <w:t xml:space="preserve">kn, što je </w:t>
      </w:r>
      <w:r w:rsidR="00CE5DE4">
        <w:rPr>
          <w:rFonts w:ascii="Arial" w:hAnsi="Arial" w:cs="Arial"/>
          <w:sz w:val="22"/>
          <w:szCs w:val="22"/>
        </w:rPr>
        <w:t>17,</w:t>
      </w:r>
      <w:r w:rsidR="00111228">
        <w:rPr>
          <w:rFonts w:ascii="Arial" w:hAnsi="Arial" w:cs="Arial"/>
          <w:sz w:val="22"/>
          <w:szCs w:val="22"/>
        </w:rPr>
        <w:t>8</w:t>
      </w:r>
      <w:r w:rsidRPr="00C70DDF">
        <w:rPr>
          <w:rFonts w:ascii="Arial" w:hAnsi="Arial" w:cs="Arial"/>
          <w:sz w:val="22"/>
          <w:szCs w:val="22"/>
        </w:rPr>
        <w:t>% od ukupnog proračuna. Kod proračunskih korisnika je planirano 1.</w:t>
      </w:r>
      <w:r w:rsidR="00CE5DE4">
        <w:rPr>
          <w:rFonts w:ascii="Arial" w:hAnsi="Arial" w:cs="Arial"/>
          <w:sz w:val="22"/>
          <w:szCs w:val="22"/>
        </w:rPr>
        <w:t>441</w:t>
      </w:r>
      <w:r w:rsidRPr="00C70DDF">
        <w:rPr>
          <w:rFonts w:ascii="Arial" w:hAnsi="Arial" w:cs="Arial"/>
          <w:sz w:val="22"/>
          <w:szCs w:val="22"/>
        </w:rPr>
        <w:t>.</w:t>
      </w:r>
      <w:r w:rsidR="00DA6849">
        <w:rPr>
          <w:rFonts w:ascii="Arial" w:hAnsi="Arial" w:cs="Arial"/>
          <w:sz w:val="22"/>
          <w:szCs w:val="22"/>
        </w:rPr>
        <w:t>744.676,32</w:t>
      </w:r>
      <w:r w:rsidRPr="00C70DDF">
        <w:rPr>
          <w:rFonts w:ascii="Arial" w:hAnsi="Arial" w:cs="Arial"/>
          <w:sz w:val="22"/>
          <w:szCs w:val="22"/>
        </w:rPr>
        <w:t xml:space="preserve"> kn što iznosi 8</w:t>
      </w:r>
      <w:r w:rsidR="00CE5DE4">
        <w:rPr>
          <w:rFonts w:ascii="Arial" w:hAnsi="Arial" w:cs="Arial"/>
          <w:sz w:val="22"/>
          <w:szCs w:val="22"/>
        </w:rPr>
        <w:t>2,</w:t>
      </w:r>
      <w:r w:rsidR="00111228">
        <w:rPr>
          <w:rFonts w:ascii="Arial" w:hAnsi="Arial" w:cs="Arial"/>
          <w:sz w:val="22"/>
          <w:szCs w:val="22"/>
        </w:rPr>
        <w:t>2</w:t>
      </w:r>
      <w:r w:rsidRPr="00C70DDF">
        <w:rPr>
          <w:rFonts w:ascii="Arial" w:hAnsi="Arial" w:cs="Arial"/>
          <w:sz w:val="22"/>
          <w:szCs w:val="22"/>
        </w:rPr>
        <w:t xml:space="preserve">% od ukupnog proračuna. </w:t>
      </w:r>
    </w:p>
    <w:p w:rsidR="00387102" w:rsidRPr="00C70DDF" w:rsidRDefault="00387102" w:rsidP="00CC5183">
      <w:pPr>
        <w:jc w:val="both"/>
        <w:rPr>
          <w:rFonts w:ascii="Arial" w:hAnsi="Arial" w:cs="Arial"/>
          <w:sz w:val="22"/>
          <w:szCs w:val="22"/>
        </w:rPr>
      </w:pPr>
    </w:p>
    <w:p w:rsidR="00805FF1" w:rsidRDefault="00805FF1" w:rsidP="00805FF1">
      <w:pPr>
        <w:jc w:val="both"/>
        <w:rPr>
          <w:rFonts w:ascii="Arial" w:hAnsi="Arial" w:cs="Arial"/>
          <w:sz w:val="22"/>
          <w:szCs w:val="22"/>
        </w:rPr>
      </w:pPr>
      <w:r w:rsidRPr="00C70DDF">
        <w:rPr>
          <w:rFonts w:ascii="Arial" w:hAnsi="Arial" w:cs="Arial"/>
          <w:sz w:val="22"/>
          <w:szCs w:val="22"/>
        </w:rPr>
        <w:t xml:space="preserve">Razlika između prihoda koje naplati Istarska županija sa rashodima koje provodi čini masu sredstava sa kojom se financiraju proračunski korisnici iz Proračuna, a čine ih prihodi za decentralizirane funkcije koji se naplaćuju iz poreza na dohodak i iz pomoći izravnanja, nenamjenska sredstva sa kojima Istarska županija financira redovnu djelatnost proračunskih korisnika ali i programsku djelatnost. </w:t>
      </w:r>
    </w:p>
    <w:p w:rsidR="00111228" w:rsidRDefault="00111228" w:rsidP="00805FF1">
      <w:pPr>
        <w:jc w:val="both"/>
        <w:rPr>
          <w:rFonts w:ascii="Arial" w:hAnsi="Arial" w:cs="Arial"/>
          <w:sz w:val="22"/>
          <w:szCs w:val="22"/>
        </w:rPr>
      </w:pPr>
    </w:p>
    <w:tbl>
      <w:tblPr>
        <w:tblW w:w="5000" w:type="pct"/>
        <w:tblLook w:val="04A0" w:firstRow="1" w:lastRow="0" w:firstColumn="1" w:lastColumn="0" w:noHBand="0" w:noVBand="1"/>
      </w:tblPr>
      <w:tblGrid>
        <w:gridCol w:w="3791"/>
        <w:gridCol w:w="1618"/>
        <w:gridCol w:w="1468"/>
        <w:gridCol w:w="1618"/>
      </w:tblGrid>
      <w:tr w:rsidR="00111228" w:rsidTr="00111228">
        <w:trPr>
          <w:trHeight w:val="480"/>
        </w:trPr>
        <w:tc>
          <w:tcPr>
            <w:tcW w:w="30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1228" w:rsidRDefault="00111228">
            <w:pPr>
              <w:jc w:val="center"/>
              <w:rPr>
                <w:rFonts w:ascii="Arial" w:hAnsi="Arial" w:cs="Arial"/>
                <w:color w:val="000000"/>
                <w:sz w:val="18"/>
                <w:szCs w:val="18"/>
              </w:rPr>
            </w:pPr>
            <w:r>
              <w:rPr>
                <w:rFonts w:ascii="Arial" w:hAnsi="Arial" w:cs="Arial"/>
                <w:color w:val="000000"/>
                <w:sz w:val="18"/>
                <w:szCs w:val="18"/>
              </w:rPr>
              <w:t>OPIS</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111228" w:rsidRDefault="00111228">
            <w:pPr>
              <w:jc w:val="center"/>
              <w:rPr>
                <w:rFonts w:ascii="Arial" w:hAnsi="Arial" w:cs="Arial"/>
                <w:color w:val="000000"/>
                <w:sz w:val="18"/>
                <w:szCs w:val="18"/>
              </w:rPr>
            </w:pPr>
            <w:r>
              <w:rPr>
                <w:rFonts w:ascii="Arial" w:hAnsi="Arial" w:cs="Arial"/>
                <w:color w:val="000000"/>
                <w:sz w:val="18"/>
                <w:szCs w:val="18"/>
              </w:rPr>
              <w:t>NOVI PLAN 2022</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111228" w:rsidRDefault="00111228">
            <w:pPr>
              <w:jc w:val="center"/>
              <w:rPr>
                <w:rFonts w:ascii="Arial" w:hAnsi="Arial" w:cs="Arial"/>
                <w:color w:val="000000"/>
                <w:sz w:val="18"/>
                <w:szCs w:val="18"/>
              </w:rPr>
            </w:pPr>
            <w:r>
              <w:rPr>
                <w:rFonts w:ascii="Arial" w:hAnsi="Arial" w:cs="Arial"/>
                <w:color w:val="000000"/>
                <w:sz w:val="18"/>
                <w:szCs w:val="18"/>
              </w:rPr>
              <w:t xml:space="preserve">ISTARSKA ŽUPANIJA </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111228" w:rsidRDefault="00111228">
            <w:pPr>
              <w:jc w:val="center"/>
              <w:rPr>
                <w:rFonts w:ascii="Arial" w:hAnsi="Arial" w:cs="Arial"/>
                <w:color w:val="000000"/>
                <w:sz w:val="18"/>
                <w:szCs w:val="18"/>
              </w:rPr>
            </w:pPr>
            <w:r>
              <w:rPr>
                <w:rFonts w:ascii="Arial" w:hAnsi="Arial" w:cs="Arial"/>
                <w:color w:val="000000"/>
                <w:sz w:val="18"/>
                <w:szCs w:val="18"/>
              </w:rPr>
              <w:t>PRORAČUNSKI KORISNICI</w:t>
            </w:r>
          </w:p>
        </w:tc>
      </w:tr>
      <w:tr w:rsidR="00111228" w:rsidTr="00111228">
        <w:trPr>
          <w:trHeight w:val="27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color w:val="000000"/>
                <w:sz w:val="18"/>
                <w:szCs w:val="18"/>
              </w:rPr>
            </w:pPr>
            <w:r>
              <w:rPr>
                <w:rFonts w:ascii="Arial" w:hAnsi="Arial" w:cs="Arial"/>
                <w:color w:val="000000"/>
                <w:sz w:val="18"/>
                <w:szCs w:val="18"/>
              </w:rPr>
              <w:t>UKUPNI PRIHODI</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1.642.287.075,04</w:t>
            </w:r>
          </w:p>
        </w:tc>
        <w:tc>
          <w:tcPr>
            <w:tcW w:w="623"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384.093.046,96</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1.258.194.028,08</w:t>
            </w:r>
          </w:p>
        </w:tc>
      </w:tr>
      <w:tr w:rsidR="00111228" w:rsidTr="00111228">
        <w:trPr>
          <w:trHeight w:val="27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color w:val="000000"/>
                <w:sz w:val="18"/>
                <w:szCs w:val="18"/>
              </w:rPr>
            </w:pPr>
            <w:r>
              <w:rPr>
                <w:rFonts w:ascii="Arial" w:hAnsi="Arial" w:cs="Arial"/>
                <w:color w:val="000000"/>
                <w:sz w:val="18"/>
                <w:szCs w:val="18"/>
              </w:rPr>
              <w:t>VIŠAK PRETHODNIH GODINA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98.225.924,96</w:t>
            </w:r>
          </w:p>
        </w:tc>
        <w:tc>
          <w:tcPr>
            <w:tcW w:w="623" w:type="pct"/>
            <w:tcBorders>
              <w:top w:val="single" w:sz="8" w:space="0" w:color="000000"/>
              <w:left w:val="single" w:sz="8" w:space="0" w:color="000000"/>
              <w:bottom w:val="single" w:sz="8" w:space="0" w:color="000000"/>
              <w:right w:val="single" w:sz="8" w:space="0" w:color="000000"/>
            </w:tcBorders>
            <w:shd w:val="clear" w:color="auto" w:fill="auto"/>
            <w:hideMark/>
          </w:tcPr>
          <w:p w:rsidR="00111228" w:rsidRDefault="00111228">
            <w:pPr>
              <w:jc w:val="right"/>
              <w:rPr>
                <w:rFonts w:ascii="Arial" w:hAnsi="Arial" w:cs="Arial"/>
                <w:color w:val="000000"/>
                <w:sz w:val="18"/>
                <w:szCs w:val="18"/>
              </w:rPr>
            </w:pPr>
            <w:r>
              <w:rPr>
                <w:rFonts w:ascii="Arial" w:hAnsi="Arial" w:cs="Arial"/>
                <w:color w:val="000000"/>
                <w:sz w:val="18"/>
                <w:szCs w:val="18"/>
              </w:rPr>
              <w:t>54.880.762,11</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43.345.162,85</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color w:val="000000"/>
                <w:sz w:val="18"/>
                <w:szCs w:val="18"/>
              </w:rPr>
            </w:pPr>
            <w:r>
              <w:rPr>
                <w:rFonts w:ascii="Arial" w:hAnsi="Arial" w:cs="Arial"/>
                <w:color w:val="000000"/>
                <w:sz w:val="18"/>
                <w:szCs w:val="18"/>
              </w:rPr>
              <w:t>PRIMICI OD FINANCIJSKE IMOVINE I ZADUŽIVANJA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14.487.000,00</w:t>
            </w:r>
          </w:p>
        </w:tc>
        <w:tc>
          <w:tcPr>
            <w:tcW w:w="623" w:type="pct"/>
            <w:tcBorders>
              <w:top w:val="nil"/>
              <w:left w:val="nil"/>
              <w:bottom w:val="nil"/>
              <w:right w:val="nil"/>
            </w:tcBorders>
            <w:shd w:val="clear" w:color="auto" w:fill="auto"/>
            <w:noWrap/>
            <w:vAlign w:val="bottom"/>
            <w:hideMark/>
          </w:tcPr>
          <w:p w:rsidR="00111228" w:rsidRDefault="00111228">
            <w:pPr>
              <w:jc w:val="right"/>
              <w:rPr>
                <w:rFonts w:ascii="Arial" w:hAnsi="Arial" w:cs="Arial"/>
                <w:color w:val="000000"/>
                <w:sz w:val="18"/>
                <w:szCs w:val="18"/>
              </w:rPr>
            </w:pPr>
            <w:r>
              <w:rPr>
                <w:rFonts w:ascii="Arial" w:hAnsi="Arial" w:cs="Arial"/>
                <w:color w:val="000000"/>
                <w:sz w:val="18"/>
                <w:szCs w:val="18"/>
              </w:rPr>
              <w:t>14.487.000,00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0,00</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b/>
                <w:bCs/>
                <w:color w:val="000000"/>
                <w:sz w:val="18"/>
                <w:szCs w:val="18"/>
              </w:rPr>
            </w:pPr>
            <w:r>
              <w:rPr>
                <w:rFonts w:ascii="Arial" w:hAnsi="Arial" w:cs="Arial"/>
                <w:b/>
                <w:bCs/>
                <w:color w:val="000000"/>
                <w:sz w:val="18"/>
                <w:szCs w:val="18"/>
              </w:rPr>
              <w:t>UKUPNO RASPOLOŽIVA SREDSTVA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1.755.000.000,00</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453.460.809,07</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1.301.539.190,93</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color w:val="000000"/>
                <w:sz w:val="18"/>
                <w:szCs w:val="18"/>
              </w:rPr>
            </w:pPr>
            <w:r>
              <w:rPr>
                <w:rFonts w:ascii="Arial" w:hAnsi="Arial" w:cs="Arial"/>
                <w:color w:val="000000"/>
                <w:sz w:val="18"/>
                <w:szCs w:val="18"/>
              </w:rPr>
              <w:t>UKUPNI RASHODI</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1.663.624.727,42</w:t>
            </w:r>
          </w:p>
        </w:tc>
        <w:tc>
          <w:tcPr>
            <w:tcW w:w="623"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277.336.118,10</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1.386.288.609,32</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color w:val="000000"/>
                <w:sz w:val="18"/>
                <w:szCs w:val="18"/>
              </w:rPr>
            </w:pPr>
            <w:r>
              <w:rPr>
                <w:rFonts w:ascii="Arial" w:hAnsi="Arial" w:cs="Arial"/>
                <w:color w:val="000000"/>
                <w:sz w:val="18"/>
                <w:szCs w:val="18"/>
              </w:rPr>
              <w:t>IZDACI ZA FINANCIJSKU IMOVINU I OTPLATU ZAJMOVA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91.375.272,58</w:t>
            </w:r>
          </w:p>
        </w:tc>
        <w:tc>
          <w:tcPr>
            <w:tcW w:w="623"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35.919.205,58</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55.456.067,00</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b/>
                <w:bCs/>
                <w:color w:val="000000"/>
                <w:sz w:val="18"/>
                <w:szCs w:val="18"/>
              </w:rPr>
            </w:pPr>
            <w:r>
              <w:rPr>
                <w:rFonts w:ascii="Arial" w:hAnsi="Arial" w:cs="Arial"/>
                <w:b/>
                <w:bCs/>
                <w:color w:val="000000"/>
                <w:sz w:val="18"/>
                <w:szCs w:val="18"/>
              </w:rPr>
              <w:t>UKUPNO RASPOREĐENA SREDSTVA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1.755.000.000,00</w:t>
            </w:r>
          </w:p>
        </w:tc>
        <w:tc>
          <w:tcPr>
            <w:tcW w:w="623"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313.255.323,68</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1.441.744.676,32</w:t>
            </w:r>
          </w:p>
        </w:tc>
      </w:tr>
      <w:tr w:rsidR="00111228" w:rsidTr="00111228">
        <w:trPr>
          <w:trHeight w:val="255"/>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rPr>
                <w:rFonts w:ascii="Arial" w:hAnsi="Arial" w:cs="Arial"/>
                <w:b/>
                <w:bCs/>
                <w:color w:val="000000"/>
                <w:sz w:val="18"/>
                <w:szCs w:val="18"/>
              </w:rPr>
            </w:pPr>
            <w:r>
              <w:rPr>
                <w:rFonts w:ascii="Arial" w:hAnsi="Arial" w:cs="Arial"/>
                <w:b/>
                <w:bCs/>
                <w:color w:val="000000"/>
                <w:sz w:val="18"/>
                <w:szCs w:val="18"/>
              </w:rPr>
              <w:t>RAZLIKA</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0,00</w:t>
            </w:r>
          </w:p>
        </w:tc>
        <w:tc>
          <w:tcPr>
            <w:tcW w:w="623"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140.205.485,39</w:t>
            </w:r>
          </w:p>
        </w:tc>
        <w:tc>
          <w:tcPr>
            <w:tcW w:w="687" w:type="pct"/>
            <w:tcBorders>
              <w:top w:val="nil"/>
              <w:left w:val="nil"/>
              <w:bottom w:val="single" w:sz="4" w:space="0" w:color="auto"/>
              <w:right w:val="single" w:sz="4" w:space="0" w:color="auto"/>
            </w:tcBorders>
            <w:shd w:val="clear" w:color="auto" w:fill="auto"/>
            <w:vAlign w:val="center"/>
            <w:hideMark/>
          </w:tcPr>
          <w:p w:rsidR="00111228" w:rsidRDefault="00111228">
            <w:pPr>
              <w:jc w:val="right"/>
              <w:rPr>
                <w:rFonts w:ascii="Arial" w:hAnsi="Arial" w:cs="Arial"/>
                <w:b/>
                <w:bCs/>
                <w:color w:val="000000"/>
                <w:sz w:val="18"/>
                <w:szCs w:val="18"/>
              </w:rPr>
            </w:pPr>
            <w:r>
              <w:rPr>
                <w:rFonts w:ascii="Arial" w:hAnsi="Arial" w:cs="Arial"/>
                <w:b/>
                <w:bCs/>
                <w:color w:val="000000"/>
                <w:sz w:val="18"/>
                <w:szCs w:val="18"/>
              </w:rPr>
              <w:t>-140.205.485,39</w:t>
            </w:r>
          </w:p>
        </w:tc>
      </w:tr>
      <w:tr w:rsidR="00111228" w:rsidTr="00111228">
        <w:trPr>
          <w:trHeight w:val="30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 xml:space="preserve">decentralizirana sredstva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23"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DA6849">
            <w:pPr>
              <w:jc w:val="right"/>
              <w:rPr>
                <w:rFonts w:ascii="Calibri" w:hAnsi="Calibri" w:cs="Calibri"/>
                <w:i/>
                <w:iCs/>
                <w:color w:val="000000"/>
                <w:sz w:val="22"/>
                <w:szCs w:val="22"/>
              </w:rPr>
            </w:pPr>
            <w:r w:rsidRPr="00DA6849">
              <w:rPr>
                <w:rFonts w:ascii="Calibri" w:hAnsi="Calibri" w:cs="Calibri"/>
                <w:i/>
                <w:iCs/>
                <w:color w:val="000000"/>
                <w:sz w:val="22"/>
                <w:szCs w:val="22"/>
              </w:rPr>
              <w:t>81.016.152,16</w:t>
            </w:r>
          </w:p>
        </w:tc>
      </w:tr>
      <w:tr w:rsidR="00111228" w:rsidTr="00111228">
        <w:trPr>
          <w:trHeight w:val="30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 xml:space="preserve">nenamjenska sredstva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23"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jc w:val="right"/>
              <w:rPr>
                <w:rFonts w:ascii="Calibri" w:hAnsi="Calibri" w:cs="Calibri"/>
                <w:i/>
                <w:iCs/>
                <w:color w:val="000000"/>
                <w:sz w:val="22"/>
                <w:szCs w:val="22"/>
              </w:rPr>
            </w:pPr>
            <w:r>
              <w:rPr>
                <w:rFonts w:ascii="Calibri" w:hAnsi="Calibri" w:cs="Calibri"/>
                <w:i/>
                <w:iCs/>
                <w:color w:val="000000"/>
                <w:sz w:val="22"/>
                <w:szCs w:val="22"/>
              </w:rPr>
              <w:t>50.059.672,16</w:t>
            </w:r>
          </w:p>
        </w:tc>
      </w:tr>
      <w:tr w:rsidR="00111228" w:rsidTr="00111228">
        <w:trPr>
          <w:trHeight w:val="30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 xml:space="preserve">eu fondovi za projekte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23"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jc w:val="right"/>
              <w:rPr>
                <w:rFonts w:ascii="Calibri" w:hAnsi="Calibri" w:cs="Calibri"/>
                <w:i/>
                <w:iCs/>
                <w:color w:val="000000"/>
                <w:sz w:val="22"/>
                <w:szCs w:val="22"/>
              </w:rPr>
            </w:pPr>
            <w:r>
              <w:rPr>
                <w:rFonts w:ascii="Calibri" w:hAnsi="Calibri" w:cs="Calibri"/>
                <w:i/>
                <w:iCs/>
                <w:color w:val="000000"/>
                <w:sz w:val="22"/>
                <w:szCs w:val="22"/>
              </w:rPr>
              <w:t>3.962.896,64</w:t>
            </w:r>
          </w:p>
        </w:tc>
      </w:tr>
      <w:tr w:rsidR="00111228" w:rsidTr="00111228">
        <w:trPr>
          <w:trHeight w:val="300"/>
        </w:trPr>
        <w:tc>
          <w:tcPr>
            <w:tcW w:w="3003" w:type="pct"/>
            <w:tcBorders>
              <w:top w:val="nil"/>
              <w:left w:val="single" w:sz="4" w:space="0" w:color="auto"/>
              <w:bottom w:val="single" w:sz="4" w:space="0" w:color="auto"/>
              <w:right w:val="single" w:sz="4" w:space="0" w:color="auto"/>
            </w:tcBorders>
            <w:shd w:val="clear" w:color="auto" w:fill="auto"/>
            <w:vAlign w:val="center"/>
            <w:hideMark/>
          </w:tcPr>
          <w:p w:rsidR="00111228" w:rsidRDefault="00111228">
            <w:pPr>
              <w:jc w:val="right"/>
              <w:rPr>
                <w:rFonts w:ascii="Arial" w:hAnsi="Arial" w:cs="Arial"/>
                <w:color w:val="000000"/>
                <w:sz w:val="18"/>
                <w:szCs w:val="18"/>
              </w:rPr>
            </w:pPr>
            <w:r>
              <w:rPr>
                <w:rFonts w:ascii="Arial" w:hAnsi="Arial" w:cs="Arial"/>
                <w:color w:val="000000"/>
                <w:sz w:val="18"/>
                <w:szCs w:val="18"/>
              </w:rPr>
              <w:t xml:space="preserve">namjenska sredstva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23" w:type="pct"/>
            <w:tcBorders>
              <w:top w:val="nil"/>
              <w:left w:val="nil"/>
              <w:bottom w:val="single" w:sz="4" w:space="0" w:color="auto"/>
              <w:right w:val="single" w:sz="4" w:space="0" w:color="auto"/>
            </w:tcBorders>
            <w:shd w:val="clear" w:color="auto" w:fill="auto"/>
            <w:noWrap/>
            <w:vAlign w:val="center"/>
            <w:hideMark/>
          </w:tcPr>
          <w:p w:rsidR="00111228" w:rsidRDefault="00111228">
            <w:pPr>
              <w:rPr>
                <w:rFonts w:ascii="Calibri" w:hAnsi="Calibri" w:cs="Calibri"/>
                <w:color w:val="000000"/>
                <w:sz w:val="22"/>
                <w:szCs w:val="22"/>
              </w:rPr>
            </w:pPr>
            <w:r>
              <w:rPr>
                <w:rFonts w:ascii="Calibri" w:hAnsi="Calibri" w:cs="Calibri"/>
                <w:color w:val="000000"/>
                <w:sz w:val="22"/>
                <w:szCs w:val="22"/>
              </w:rPr>
              <w:t> </w:t>
            </w:r>
          </w:p>
        </w:tc>
        <w:tc>
          <w:tcPr>
            <w:tcW w:w="687" w:type="pct"/>
            <w:tcBorders>
              <w:top w:val="nil"/>
              <w:left w:val="nil"/>
              <w:bottom w:val="single" w:sz="4" w:space="0" w:color="auto"/>
              <w:right w:val="single" w:sz="4" w:space="0" w:color="auto"/>
            </w:tcBorders>
            <w:shd w:val="clear" w:color="auto" w:fill="auto"/>
            <w:noWrap/>
            <w:vAlign w:val="center"/>
            <w:hideMark/>
          </w:tcPr>
          <w:p w:rsidR="00111228" w:rsidRDefault="00111228">
            <w:pPr>
              <w:jc w:val="right"/>
              <w:rPr>
                <w:rFonts w:ascii="Calibri" w:hAnsi="Calibri" w:cs="Calibri"/>
                <w:i/>
                <w:iCs/>
                <w:color w:val="000000"/>
                <w:sz w:val="22"/>
                <w:szCs w:val="22"/>
              </w:rPr>
            </w:pPr>
            <w:r>
              <w:rPr>
                <w:rFonts w:ascii="Calibri" w:hAnsi="Calibri" w:cs="Calibri"/>
                <w:i/>
                <w:iCs/>
                <w:color w:val="000000"/>
                <w:sz w:val="22"/>
                <w:szCs w:val="22"/>
              </w:rPr>
              <w:t>5.166.764,43</w:t>
            </w:r>
          </w:p>
        </w:tc>
      </w:tr>
    </w:tbl>
    <w:p w:rsidR="00111228" w:rsidRDefault="00111228" w:rsidP="00805FF1">
      <w:pPr>
        <w:jc w:val="both"/>
        <w:rPr>
          <w:rFonts w:ascii="Arial" w:hAnsi="Arial" w:cs="Arial"/>
          <w:sz w:val="22"/>
          <w:szCs w:val="22"/>
        </w:rPr>
      </w:pPr>
    </w:p>
    <w:p w:rsidR="0019029D" w:rsidRDefault="0019029D" w:rsidP="00805FF1">
      <w:pPr>
        <w:jc w:val="both"/>
        <w:rPr>
          <w:rFonts w:ascii="Arial" w:hAnsi="Arial" w:cs="Arial"/>
          <w:sz w:val="22"/>
          <w:szCs w:val="22"/>
        </w:rPr>
      </w:pPr>
    </w:p>
    <w:p w:rsidR="0019029D" w:rsidRDefault="0019029D" w:rsidP="0019029D">
      <w:pPr>
        <w:jc w:val="center"/>
        <w:rPr>
          <w:rFonts w:ascii="Arial" w:hAnsi="Arial" w:cs="Arial"/>
          <w:sz w:val="22"/>
          <w:szCs w:val="22"/>
        </w:rPr>
      </w:pPr>
      <w:r>
        <w:rPr>
          <w:noProof/>
        </w:rPr>
        <w:drawing>
          <wp:inline distT="0" distB="0" distL="0" distR="0" wp14:anchorId="5FCEDB89" wp14:editId="452FEF64">
            <wp:extent cx="4486275" cy="2638425"/>
            <wp:effectExtent l="0" t="0" r="0" b="0"/>
            <wp:docPr id="2" name="Grafiko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47195" w:rsidRDefault="00047195" w:rsidP="00805FF1">
      <w:pPr>
        <w:jc w:val="both"/>
        <w:rPr>
          <w:rFonts w:ascii="Arial" w:hAnsi="Arial" w:cs="Arial"/>
          <w:sz w:val="22"/>
          <w:szCs w:val="22"/>
        </w:rPr>
      </w:pPr>
    </w:p>
    <w:p w:rsidR="00047195" w:rsidRDefault="0019029D" w:rsidP="00047195">
      <w:pPr>
        <w:jc w:val="center"/>
        <w:rPr>
          <w:rFonts w:ascii="Arial" w:hAnsi="Arial" w:cs="Arial"/>
          <w:sz w:val="22"/>
          <w:szCs w:val="22"/>
        </w:rPr>
      </w:pPr>
      <w:r>
        <w:rPr>
          <w:noProof/>
        </w:rPr>
        <w:drawing>
          <wp:inline distT="0" distB="0" distL="0" distR="0" wp14:anchorId="5EC73834" wp14:editId="485348A6">
            <wp:extent cx="4551529" cy="2661314"/>
            <wp:effectExtent l="0" t="0" r="1905" b="5715"/>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7102" w:rsidRDefault="00387102" w:rsidP="00387102">
      <w:pPr>
        <w:jc w:val="center"/>
        <w:rPr>
          <w:rFonts w:ascii="Arial" w:hAnsi="Arial" w:cs="Arial"/>
          <w:sz w:val="22"/>
          <w:szCs w:val="22"/>
        </w:rPr>
      </w:pPr>
    </w:p>
    <w:p w:rsidR="00047195" w:rsidRDefault="00047195" w:rsidP="00387102">
      <w:pPr>
        <w:jc w:val="center"/>
        <w:rPr>
          <w:rFonts w:ascii="Arial" w:hAnsi="Arial" w:cs="Arial"/>
          <w:sz w:val="22"/>
          <w:szCs w:val="22"/>
        </w:rPr>
      </w:pPr>
    </w:p>
    <w:p w:rsidR="00EC7ECB" w:rsidRDefault="00387102" w:rsidP="00CC5183">
      <w:pPr>
        <w:jc w:val="both"/>
        <w:rPr>
          <w:rFonts w:ascii="Arial" w:hAnsi="Arial" w:cs="Arial"/>
          <w:sz w:val="22"/>
          <w:szCs w:val="22"/>
        </w:rPr>
      </w:pPr>
      <w:r>
        <w:rPr>
          <w:rFonts w:ascii="Arial" w:hAnsi="Arial" w:cs="Arial"/>
          <w:sz w:val="22"/>
          <w:szCs w:val="22"/>
        </w:rPr>
        <w:t xml:space="preserve">PRIHODI ISTARSKE ŽUPANIJE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606"/>
        <w:gridCol w:w="1415"/>
        <w:gridCol w:w="1359"/>
        <w:gridCol w:w="1329"/>
      </w:tblGrid>
      <w:tr w:rsidR="00EC7ECB" w:rsidTr="00EC7ECB">
        <w:trPr>
          <w:trHeight w:val="480"/>
        </w:trPr>
        <w:tc>
          <w:tcPr>
            <w:tcW w:w="462" w:type="pct"/>
            <w:shd w:val="clear" w:color="000000" w:fill="ECE9D8"/>
            <w:vAlign w:val="center"/>
            <w:hideMark/>
          </w:tcPr>
          <w:p w:rsidR="00EC7ECB" w:rsidRDefault="00EC7ECB">
            <w:pPr>
              <w:rPr>
                <w:rFonts w:ascii="Arial" w:hAnsi="Arial" w:cs="Arial"/>
                <w:color w:val="000000"/>
                <w:sz w:val="16"/>
                <w:szCs w:val="16"/>
              </w:rPr>
            </w:pPr>
            <w:r>
              <w:rPr>
                <w:rFonts w:ascii="Arial" w:hAnsi="Arial" w:cs="Arial"/>
                <w:color w:val="000000"/>
                <w:sz w:val="16"/>
                <w:szCs w:val="16"/>
              </w:rPr>
              <w:t>RAČUN</w:t>
            </w:r>
          </w:p>
        </w:tc>
        <w:tc>
          <w:tcPr>
            <w:tcW w:w="2122" w:type="pct"/>
            <w:shd w:val="clear" w:color="000000" w:fill="ECE9D8"/>
            <w:vAlign w:val="center"/>
            <w:hideMark/>
          </w:tcPr>
          <w:p w:rsidR="00EC7ECB" w:rsidRDefault="00EC7ECB">
            <w:pPr>
              <w:rPr>
                <w:rFonts w:ascii="Arial" w:hAnsi="Arial" w:cs="Arial"/>
                <w:color w:val="000000"/>
                <w:sz w:val="16"/>
                <w:szCs w:val="16"/>
              </w:rPr>
            </w:pPr>
            <w:r>
              <w:rPr>
                <w:rFonts w:ascii="Arial" w:hAnsi="Arial" w:cs="Arial"/>
                <w:color w:val="000000"/>
                <w:sz w:val="16"/>
                <w:szCs w:val="16"/>
              </w:rPr>
              <w:t>OPIS</w:t>
            </w:r>
          </w:p>
        </w:tc>
        <w:tc>
          <w:tcPr>
            <w:tcW w:w="833" w:type="pct"/>
            <w:shd w:val="clear" w:color="000000" w:fill="ECE9D8"/>
            <w:vAlign w:val="center"/>
            <w:hideMark/>
          </w:tcPr>
          <w:p w:rsidR="00EC7ECB" w:rsidRDefault="00EC7ECB">
            <w:pPr>
              <w:jc w:val="center"/>
              <w:rPr>
                <w:rFonts w:ascii="Arial" w:hAnsi="Arial" w:cs="Arial"/>
                <w:color w:val="000000"/>
                <w:sz w:val="16"/>
                <w:szCs w:val="16"/>
              </w:rPr>
            </w:pPr>
            <w:r>
              <w:rPr>
                <w:rFonts w:ascii="Arial" w:hAnsi="Arial" w:cs="Arial"/>
                <w:color w:val="000000"/>
                <w:sz w:val="16"/>
                <w:szCs w:val="16"/>
              </w:rPr>
              <w:t>PLAN</w:t>
            </w:r>
          </w:p>
        </w:tc>
        <w:tc>
          <w:tcPr>
            <w:tcW w:w="800" w:type="pct"/>
            <w:shd w:val="clear" w:color="000000" w:fill="ECE9D8"/>
            <w:vAlign w:val="center"/>
            <w:hideMark/>
          </w:tcPr>
          <w:p w:rsidR="00EC7ECB" w:rsidRDefault="00EC7ECB">
            <w:pPr>
              <w:rPr>
                <w:rFonts w:ascii="Arial" w:hAnsi="Arial" w:cs="Arial"/>
                <w:color w:val="000000"/>
                <w:sz w:val="16"/>
                <w:szCs w:val="16"/>
              </w:rPr>
            </w:pPr>
            <w:r>
              <w:rPr>
                <w:rFonts w:ascii="Arial" w:hAnsi="Arial" w:cs="Arial"/>
                <w:color w:val="000000"/>
                <w:sz w:val="16"/>
                <w:szCs w:val="16"/>
              </w:rPr>
              <w:t>RAZLIKA</w:t>
            </w:r>
          </w:p>
        </w:tc>
        <w:tc>
          <w:tcPr>
            <w:tcW w:w="782" w:type="pct"/>
            <w:shd w:val="clear" w:color="000000" w:fill="ECE9D8"/>
            <w:vAlign w:val="center"/>
            <w:hideMark/>
          </w:tcPr>
          <w:p w:rsidR="00EC7ECB" w:rsidRDefault="00EC7ECB">
            <w:pPr>
              <w:jc w:val="center"/>
              <w:rPr>
                <w:rFonts w:ascii="Arial" w:hAnsi="Arial" w:cs="Arial"/>
                <w:color w:val="000000"/>
                <w:sz w:val="16"/>
                <w:szCs w:val="16"/>
              </w:rPr>
            </w:pPr>
            <w:r>
              <w:rPr>
                <w:rFonts w:ascii="Arial" w:hAnsi="Arial" w:cs="Arial"/>
                <w:color w:val="000000"/>
                <w:sz w:val="16"/>
                <w:szCs w:val="16"/>
              </w:rPr>
              <w:t>NOVI PLAN</w:t>
            </w:r>
          </w:p>
        </w:tc>
      </w:tr>
      <w:tr w:rsidR="00EC7ECB" w:rsidTr="00EC7ECB">
        <w:trPr>
          <w:trHeight w:val="255"/>
        </w:trPr>
        <w:tc>
          <w:tcPr>
            <w:tcW w:w="462" w:type="pct"/>
            <w:shd w:val="clear" w:color="000000" w:fill="0000FF"/>
            <w:vAlign w:val="center"/>
            <w:hideMark/>
          </w:tcPr>
          <w:p w:rsidR="00EC7ECB" w:rsidRDefault="00EC7ECB">
            <w:pPr>
              <w:rPr>
                <w:rFonts w:ascii="Arial" w:hAnsi="Arial" w:cs="Arial"/>
                <w:color w:val="FFFFFF"/>
                <w:sz w:val="16"/>
                <w:szCs w:val="16"/>
              </w:rPr>
            </w:pPr>
            <w:r>
              <w:rPr>
                <w:rFonts w:ascii="Arial" w:hAnsi="Arial" w:cs="Arial"/>
                <w:color w:val="FFFFFF"/>
                <w:sz w:val="16"/>
                <w:szCs w:val="16"/>
              </w:rPr>
              <w:t>6</w:t>
            </w:r>
          </w:p>
        </w:tc>
        <w:tc>
          <w:tcPr>
            <w:tcW w:w="2122" w:type="pct"/>
            <w:shd w:val="clear" w:color="000000" w:fill="0000FF"/>
            <w:vAlign w:val="center"/>
            <w:hideMark/>
          </w:tcPr>
          <w:p w:rsidR="00EC7ECB" w:rsidRDefault="00EC7ECB">
            <w:pPr>
              <w:rPr>
                <w:rFonts w:ascii="Arial" w:hAnsi="Arial" w:cs="Arial"/>
                <w:color w:val="FFFFFF"/>
                <w:sz w:val="16"/>
                <w:szCs w:val="16"/>
              </w:rPr>
            </w:pPr>
            <w:r>
              <w:rPr>
                <w:rFonts w:ascii="Arial" w:hAnsi="Arial" w:cs="Arial"/>
                <w:color w:val="FFFFFF"/>
                <w:sz w:val="16"/>
                <w:szCs w:val="16"/>
              </w:rPr>
              <w:t>PRIHODI POSLOVANJA</w:t>
            </w:r>
          </w:p>
        </w:tc>
        <w:tc>
          <w:tcPr>
            <w:tcW w:w="833"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427.555.632,37</w:t>
            </w:r>
          </w:p>
        </w:tc>
        <w:tc>
          <w:tcPr>
            <w:tcW w:w="800"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- 43.896.585,41</w:t>
            </w:r>
          </w:p>
        </w:tc>
        <w:tc>
          <w:tcPr>
            <w:tcW w:w="782"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383.659.046,96</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61</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PRIHODI OD POREZA</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152.520.000,00</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41.080.000,00</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193.600.000,00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611</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POREZ I PRIREZ NA DOHODAK</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134.200.000,00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38.800.000,00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173.000.000,00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613</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POREZI NA IMOVINU</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900.000,00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750.000,00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1.650.000,00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614</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POREZI NA ROBU I USLUGE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17.420.000,00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1.530.000,00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18.950.000,00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63</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POMOĆI IZ INOZEM. I OD SUBJEKATA UNUTAR OPĆEG PRORAČUNA</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237.671.034,38</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- 70.487.659,01</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167.183.375,37</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632</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POMOĆI OD MEĐUNARODNIH ORGANIZ.TE INSTITUCIJA I TIJELA EU</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12.100.608,04</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- 5.691.360,54</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6.409.247,50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633</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POMOĆI PRORAČUNU IZ DRUGIH PRORAČUNA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52.760.836,23</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858.799,43</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53.619.635,66</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634</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POMOĆI OD IZVANPRORAČUNSKIH KORISNIKA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7.142.680,00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7.142.680,00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635</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POMOĆI IZRAVNANJA ZA DECENTRALIZIRANE FUNKCIJE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62.591.192,01</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- 4.822.000,00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57.769.192,01</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638</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POMOĆI IZ DRŽ.PRORAČUNA TEMELJEM PRIJENOSA EU SREDSTAVA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103.029.718,10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- 60.937.097,90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42.092.620,20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lastRenderedPageBreak/>
              <w:t>639</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PRIJENOSI IZMEĐU PRORAČUNSKIH KORISNIKA ISTOG PRORAČUNA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46.000,00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104.000,00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150.000,00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64</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PRIHODI OD IMOVINE</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18.007.117,20</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- 685.689,38</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17.321.427,82</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641</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OD FINANCIJSKE IMOVINE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3.600.000,00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- 1.417.669,38</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2.182.330,62</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642</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OD NEFINANCIJSKE IMOVINE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12.609.117,20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731.980,00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13.341.097,20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643</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OD KAMATA NA DANE ZAJMOVE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1.798.000,00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1.798.000,00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65</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PRIH.OD UPRAVN.I ADMIN.PRISTOJBI I PR.PO POSEB.PROPIS.I NAKN</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4.262.946,42</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- 306.000,00</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3.956.946,42</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651</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UPRAVNE I ADMINISTRATIVNE PRISTOJBE</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4.238.946,42</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- 306.000,00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3.932.946,42</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652</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PO POSEBNIM PROPISIMA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24.000,00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24.000,00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66</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PRIHODI OD PRODAJE PROIZV.I ROBE TE PRUŽ.USL.I PRIH.OD DONAC</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13.631.463,69</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- 12.549.930,19</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1.081.533,50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661</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OD PRODAJE PROIZVODA I ROBE TE PRUŽENIH USLUGA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630.000,00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200.000,00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830.000,00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663</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DONACIJE OD PRAVNIH I FIZIČKIH OSOBA IZVAN OPĆEG PRORAČUNA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13.001.463,69</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- 12.749.930,19</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251.533,50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68</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KAZNE, UPRAVNE MJERE I OSTALI PRIHODI</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1.463.070,68</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- 947.306,83</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515.763,85</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683</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OSTALI PRIHODI</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1.463.070,68</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- 947.306,83</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515.763,85</w:t>
            </w:r>
          </w:p>
        </w:tc>
      </w:tr>
      <w:tr w:rsidR="00EC7ECB" w:rsidTr="00EC7ECB">
        <w:trPr>
          <w:trHeight w:val="255"/>
        </w:trPr>
        <w:tc>
          <w:tcPr>
            <w:tcW w:w="462" w:type="pct"/>
            <w:shd w:val="clear" w:color="000000" w:fill="0000FF"/>
            <w:vAlign w:val="center"/>
            <w:hideMark/>
          </w:tcPr>
          <w:p w:rsidR="00EC7ECB" w:rsidRDefault="00EC7ECB">
            <w:pPr>
              <w:rPr>
                <w:rFonts w:ascii="Arial" w:hAnsi="Arial" w:cs="Arial"/>
                <w:color w:val="FFFFFF"/>
                <w:sz w:val="16"/>
                <w:szCs w:val="16"/>
              </w:rPr>
            </w:pPr>
            <w:r>
              <w:rPr>
                <w:rFonts w:ascii="Arial" w:hAnsi="Arial" w:cs="Arial"/>
                <w:color w:val="FFFFFF"/>
                <w:sz w:val="16"/>
                <w:szCs w:val="16"/>
              </w:rPr>
              <w:t>7</w:t>
            </w:r>
          </w:p>
        </w:tc>
        <w:tc>
          <w:tcPr>
            <w:tcW w:w="2122" w:type="pct"/>
            <w:shd w:val="clear" w:color="000000" w:fill="0000FF"/>
            <w:vAlign w:val="center"/>
            <w:hideMark/>
          </w:tcPr>
          <w:p w:rsidR="00EC7ECB" w:rsidRDefault="00EC7ECB">
            <w:pPr>
              <w:rPr>
                <w:rFonts w:ascii="Arial" w:hAnsi="Arial" w:cs="Arial"/>
                <w:color w:val="FFFFFF"/>
                <w:sz w:val="16"/>
                <w:szCs w:val="16"/>
              </w:rPr>
            </w:pPr>
            <w:r>
              <w:rPr>
                <w:rFonts w:ascii="Arial" w:hAnsi="Arial" w:cs="Arial"/>
                <w:color w:val="FFFFFF"/>
                <w:sz w:val="16"/>
                <w:szCs w:val="16"/>
              </w:rPr>
              <w:t>PRIHODI OD PRODAJE NEFINANCIJSKE IMOVINE</w:t>
            </w:r>
          </w:p>
        </w:tc>
        <w:tc>
          <w:tcPr>
            <w:tcW w:w="833"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434.000,00</w:t>
            </w:r>
          </w:p>
        </w:tc>
        <w:tc>
          <w:tcPr>
            <w:tcW w:w="800"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0,00</w:t>
            </w:r>
          </w:p>
        </w:tc>
        <w:tc>
          <w:tcPr>
            <w:tcW w:w="782" w:type="pct"/>
            <w:shd w:val="clear" w:color="000000" w:fill="0000FF"/>
            <w:vAlign w:val="center"/>
            <w:hideMark/>
          </w:tcPr>
          <w:p w:rsidR="00EC7ECB" w:rsidRDefault="00EC7ECB">
            <w:pPr>
              <w:jc w:val="right"/>
              <w:rPr>
                <w:rFonts w:ascii="Arial" w:hAnsi="Arial" w:cs="Arial"/>
                <w:color w:val="FFFFFF"/>
                <w:sz w:val="16"/>
                <w:szCs w:val="16"/>
              </w:rPr>
            </w:pPr>
            <w:r>
              <w:rPr>
                <w:rFonts w:ascii="Arial" w:hAnsi="Arial" w:cs="Arial"/>
                <w:color w:val="FFFFFF"/>
                <w:sz w:val="16"/>
                <w:szCs w:val="16"/>
              </w:rPr>
              <w:t>434.000,00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71</w:t>
            </w:r>
          </w:p>
        </w:tc>
        <w:tc>
          <w:tcPr>
            <w:tcW w:w="2122" w:type="pct"/>
            <w:shd w:val="clear" w:color="000000" w:fill="FFFFFF"/>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PRIHODI OD PRODAJE NEPROIZVEDENE DUGOTRAJNE IMOVINE</w:t>
            </w:r>
          </w:p>
        </w:tc>
        <w:tc>
          <w:tcPr>
            <w:tcW w:w="833"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434.000,00</w:t>
            </w:r>
          </w:p>
        </w:tc>
        <w:tc>
          <w:tcPr>
            <w:tcW w:w="800"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0,00</w:t>
            </w:r>
          </w:p>
        </w:tc>
        <w:tc>
          <w:tcPr>
            <w:tcW w:w="782" w:type="pct"/>
            <w:shd w:val="clear" w:color="000000" w:fill="FFFFFF"/>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434.000,00</w:t>
            </w:r>
          </w:p>
        </w:tc>
      </w:tr>
      <w:tr w:rsidR="00EC7ECB" w:rsidTr="00EC7ECB">
        <w:trPr>
          <w:trHeight w:val="255"/>
        </w:trPr>
        <w:tc>
          <w:tcPr>
            <w:tcW w:w="46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711</w:t>
            </w:r>
          </w:p>
        </w:tc>
        <w:tc>
          <w:tcPr>
            <w:tcW w:w="2122" w:type="pct"/>
            <w:shd w:val="clear" w:color="000000" w:fill="FFFFFF"/>
            <w:vAlign w:val="center"/>
            <w:hideMark/>
          </w:tcPr>
          <w:p w:rsidR="00EC7ECB" w:rsidRDefault="00EC7ECB">
            <w:pPr>
              <w:rPr>
                <w:rFonts w:ascii="Arial" w:hAnsi="Arial" w:cs="Arial"/>
                <w:color w:val="000000"/>
                <w:sz w:val="16"/>
                <w:szCs w:val="16"/>
              </w:rPr>
            </w:pPr>
            <w:r>
              <w:rPr>
                <w:rFonts w:ascii="Arial" w:hAnsi="Arial" w:cs="Arial"/>
                <w:color w:val="000000"/>
                <w:sz w:val="16"/>
                <w:szCs w:val="16"/>
              </w:rPr>
              <w:t>PRIHODI OD PRODAJE MATERIJALNE IMOVINE-PRIRODNIH BOGATSTAVA</w:t>
            </w:r>
          </w:p>
        </w:tc>
        <w:tc>
          <w:tcPr>
            <w:tcW w:w="833"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434.000,00</w:t>
            </w:r>
          </w:p>
        </w:tc>
        <w:tc>
          <w:tcPr>
            <w:tcW w:w="800"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0,00</w:t>
            </w:r>
          </w:p>
        </w:tc>
        <w:tc>
          <w:tcPr>
            <w:tcW w:w="782" w:type="pct"/>
            <w:shd w:val="clear" w:color="000000" w:fill="FFFFFF"/>
            <w:vAlign w:val="center"/>
            <w:hideMark/>
          </w:tcPr>
          <w:p w:rsidR="00EC7ECB" w:rsidRDefault="00EC7ECB">
            <w:pPr>
              <w:jc w:val="right"/>
              <w:rPr>
                <w:rFonts w:ascii="Arial" w:hAnsi="Arial" w:cs="Arial"/>
                <w:color w:val="000000"/>
                <w:sz w:val="16"/>
                <w:szCs w:val="16"/>
              </w:rPr>
            </w:pPr>
            <w:r>
              <w:rPr>
                <w:rFonts w:ascii="Arial" w:hAnsi="Arial" w:cs="Arial"/>
                <w:color w:val="000000"/>
                <w:sz w:val="16"/>
                <w:szCs w:val="16"/>
              </w:rPr>
              <w:t>434.000,00</w:t>
            </w:r>
          </w:p>
        </w:tc>
      </w:tr>
      <w:tr w:rsidR="00EC7ECB" w:rsidTr="00EC7ECB">
        <w:trPr>
          <w:trHeight w:val="255"/>
        </w:trPr>
        <w:tc>
          <w:tcPr>
            <w:tcW w:w="2584" w:type="pct"/>
            <w:gridSpan w:val="2"/>
            <w:shd w:val="clear" w:color="000000" w:fill="FFFF00"/>
            <w:vAlign w:val="center"/>
            <w:hideMark/>
          </w:tcPr>
          <w:p w:rsidR="00EC7ECB" w:rsidRDefault="00EC7ECB">
            <w:pPr>
              <w:rPr>
                <w:rFonts w:ascii="Arial" w:hAnsi="Arial" w:cs="Arial"/>
                <w:b/>
                <w:bCs/>
                <w:color w:val="000000"/>
                <w:sz w:val="16"/>
                <w:szCs w:val="16"/>
              </w:rPr>
            </w:pPr>
            <w:r>
              <w:rPr>
                <w:rFonts w:ascii="Arial" w:hAnsi="Arial" w:cs="Arial"/>
                <w:b/>
                <w:bCs/>
                <w:color w:val="000000"/>
                <w:sz w:val="16"/>
                <w:szCs w:val="16"/>
              </w:rPr>
              <w:t>SVEUKUPNO</w:t>
            </w:r>
          </w:p>
          <w:p w:rsidR="00EC7ECB" w:rsidRDefault="00EC7ECB">
            <w:pPr>
              <w:rPr>
                <w:rFonts w:ascii="Arial" w:hAnsi="Arial" w:cs="Arial"/>
                <w:sz w:val="20"/>
                <w:szCs w:val="20"/>
              </w:rPr>
            </w:pPr>
            <w:r>
              <w:rPr>
                <w:rFonts w:ascii="Arial" w:hAnsi="Arial" w:cs="Arial"/>
                <w:sz w:val="20"/>
                <w:szCs w:val="20"/>
              </w:rPr>
              <w:t> </w:t>
            </w:r>
          </w:p>
        </w:tc>
        <w:tc>
          <w:tcPr>
            <w:tcW w:w="833" w:type="pct"/>
            <w:shd w:val="clear" w:color="000000" w:fill="FFFF00"/>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427.989.632,37</w:t>
            </w:r>
          </w:p>
        </w:tc>
        <w:tc>
          <w:tcPr>
            <w:tcW w:w="800" w:type="pct"/>
            <w:shd w:val="clear" w:color="000000" w:fill="FFFF00"/>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- 43.896.585,41</w:t>
            </w:r>
          </w:p>
        </w:tc>
        <w:tc>
          <w:tcPr>
            <w:tcW w:w="782" w:type="pct"/>
            <w:shd w:val="clear" w:color="000000" w:fill="FFFF00"/>
            <w:vAlign w:val="center"/>
            <w:hideMark/>
          </w:tcPr>
          <w:p w:rsidR="00EC7ECB" w:rsidRDefault="00EC7ECB">
            <w:pPr>
              <w:jc w:val="right"/>
              <w:rPr>
                <w:rFonts w:ascii="Arial" w:hAnsi="Arial" w:cs="Arial"/>
                <w:b/>
                <w:bCs/>
                <w:color w:val="000000"/>
                <w:sz w:val="16"/>
                <w:szCs w:val="16"/>
              </w:rPr>
            </w:pPr>
            <w:r>
              <w:rPr>
                <w:rFonts w:ascii="Arial" w:hAnsi="Arial" w:cs="Arial"/>
                <w:b/>
                <w:bCs/>
                <w:color w:val="000000"/>
                <w:sz w:val="16"/>
                <w:szCs w:val="16"/>
              </w:rPr>
              <w:t>384.093.046,96</w:t>
            </w:r>
          </w:p>
        </w:tc>
      </w:tr>
    </w:tbl>
    <w:p w:rsidR="00EC7ECB" w:rsidRDefault="00EC7ECB" w:rsidP="00CC5183">
      <w:pPr>
        <w:jc w:val="both"/>
        <w:rPr>
          <w:rFonts w:ascii="Arial" w:hAnsi="Arial" w:cs="Arial"/>
          <w:sz w:val="22"/>
          <w:szCs w:val="22"/>
        </w:rPr>
      </w:pPr>
    </w:p>
    <w:p w:rsidR="00533D20" w:rsidRDefault="00533D20" w:rsidP="00CC5183">
      <w:pPr>
        <w:jc w:val="both"/>
        <w:rPr>
          <w:rFonts w:ascii="Arial" w:hAnsi="Arial" w:cs="Arial"/>
          <w:sz w:val="22"/>
          <w:szCs w:val="22"/>
        </w:rPr>
      </w:pPr>
      <w:r>
        <w:rPr>
          <w:rFonts w:ascii="Arial" w:hAnsi="Arial" w:cs="Arial"/>
          <w:sz w:val="22"/>
          <w:szCs w:val="22"/>
        </w:rPr>
        <w:t>P</w:t>
      </w:r>
      <w:r w:rsidR="00154846">
        <w:rPr>
          <w:rFonts w:ascii="Arial" w:hAnsi="Arial" w:cs="Arial"/>
          <w:sz w:val="22"/>
          <w:szCs w:val="22"/>
        </w:rPr>
        <w:t xml:space="preserve">orez na dohodak </w:t>
      </w:r>
      <w:r>
        <w:rPr>
          <w:rFonts w:ascii="Arial" w:hAnsi="Arial" w:cs="Arial"/>
          <w:sz w:val="22"/>
          <w:szCs w:val="22"/>
        </w:rPr>
        <w:t xml:space="preserve">je povećan za 38,8 mil.kn, od čega je za financiranje decentraliziranih korisnika 4,8 mil.kn, te je nenamjenski dio poreza povećan za 34 mil.kn. Porez na dohodak naplaćuje se više u odnosu na prethodnu godinu, što je posljedica dobre turističke sezone, povećanje plaća uslijed inflacije i oporavku gospodarstva nakon epidemije korona virusa.  </w:t>
      </w:r>
    </w:p>
    <w:p w:rsidR="00734E11" w:rsidRDefault="00734E11" w:rsidP="00CC5183">
      <w:pPr>
        <w:jc w:val="both"/>
        <w:rPr>
          <w:rFonts w:ascii="Arial" w:hAnsi="Arial" w:cs="Arial"/>
          <w:sz w:val="22"/>
          <w:szCs w:val="22"/>
        </w:rPr>
      </w:pPr>
    </w:p>
    <w:tbl>
      <w:tblPr>
        <w:tblW w:w="5000" w:type="pct"/>
        <w:tblLook w:val="0600" w:firstRow="0" w:lastRow="0" w:firstColumn="0" w:lastColumn="0" w:noHBand="1" w:noVBand="1"/>
      </w:tblPr>
      <w:tblGrid>
        <w:gridCol w:w="3775"/>
        <w:gridCol w:w="1607"/>
        <w:gridCol w:w="1496"/>
        <w:gridCol w:w="1607"/>
      </w:tblGrid>
      <w:tr w:rsidR="00734E11" w:rsidRPr="00734E11" w:rsidTr="00734E11">
        <w:trPr>
          <w:trHeight w:val="330"/>
        </w:trPr>
        <w:tc>
          <w:tcPr>
            <w:tcW w:w="2461" w:type="pct"/>
            <w:tcBorders>
              <w:top w:val="single" w:sz="8" w:space="0" w:color="F79646"/>
              <w:left w:val="single" w:sz="8" w:space="0" w:color="F79646"/>
              <w:bottom w:val="nil"/>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VRSTA POREZA</w:t>
            </w:r>
          </w:p>
        </w:tc>
        <w:tc>
          <w:tcPr>
            <w:tcW w:w="867" w:type="pct"/>
            <w:tcBorders>
              <w:top w:val="single" w:sz="8" w:space="0" w:color="F79646"/>
              <w:left w:val="nil"/>
              <w:bottom w:val="nil"/>
              <w:right w:val="single" w:sz="8" w:space="0" w:color="F79646"/>
            </w:tcBorders>
            <w:shd w:val="clear" w:color="000000" w:fill="FCDDCF"/>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Proračun 2022</w:t>
            </w:r>
          </w:p>
        </w:tc>
        <w:tc>
          <w:tcPr>
            <w:tcW w:w="806" w:type="pct"/>
            <w:tcBorders>
              <w:top w:val="single" w:sz="8" w:space="0" w:color="F79646"/>
              <w:left w:val="nil"/>
              <w:bottom w:val="nil"/>
              <w:right w:val="single" w:sz="8" w:space="0" w:color="F79646"/>
            </w:tcBorders>
            <w:shd w:val="clear" w:color="000000" w:fill="FDEFE9"/>
            <w:vAlign w:val="bottom"/>
            <w:hideMark/>
          </w:tcPr>
          <w:p w:rsidR="00734E11" w:rsidRPr="00734E11" w:rsidRDefault="00734E11">
            <w:pPr>
              <w:jc w:val="center"/>
              <w:rPr>
                <w:rFonts w:ascii="Arial" w:hAnsi="Arial" w:cs="Arial"/>
                <w:color w:val="000000"/>
                <w:sz w:val="20"/>
                <w:szCs w:val="20"/>
              </w:rPr>
            </w:pPr>
            <w:r w:rsidRPr="00734E11">
              <w:rPr>
                <w:rFonts w:ascii="Arial" w:hAnsi="Arial" w:cs="Arial"/>
                <w:color w:val="000000"/>
                <w:sz w:val="20"/>
                <w:szCs w:val="20"/>
              </w:rPr>
              <w:t xml:space="preserve">Razlika </w:t>
            </w:r>
          </w:p>
        </w:tc>
        <w:tc>
          <w:tcPr>
            <w:tcW w:w="867" w:type="pct"/>
            <w:tcBorders>
              <w:top w:val="single" w:sz="8" w:space="0" w:color="F79646"/>
              <w:left w:val="nil"/>
              <w:bottom w:val="nil"/>
              <w:right w:val="single" w:sz="8" w:space="0" w:color="F79646"/>
            </w:tcBorders>
            <w:shd w:val="clear" w:color="000000" w:fill="FCDDCF"/>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 xml:space="preserve">Novi plan </w:t>
            </w:r>
          </w:p>
        </w:tc>
      </w:tr>
      <w:tr w:rsidR="00734E11" w:rsidRPr="00734E11" w:rsidTr="00734E11">
        <w:trPr>
          <w:trHeight w:val="330"/>
        </w:trPr>
        <w:tc>
          <w:tcPr>
            <w:tcW w:w="2461" w:type="pct"/>
            <w:tcBorders>
              <w:top w:val="single" w:sz="8" w:space="0" w:color="F79646"/>
              <w:left w:val="single" w:sz="8" w:space="0" w:color="F79646"/>
              <w:bottom w:val="single" w:sz="8" w:space="0" w:color="F79646"/>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Porez i prirez na dohodak - nenamjenski dio</w:t>
            </w:r>
          </w:p>
        </w:tc>
        <w:tc>
          <w:tcPr>
            <w:tcW w:w="867" w:type="pct"/>
            <w:tcBorders>
              <w:top w:val="single" w:sz="8" w:space="0" w:color="F79646"/>
              <w:left w:val="nil"/>
              <w:bottom w:val="single" w:sz="8" w:space="0" w:color="F79646"/>
              <w:right w:val="single" w:sz="8" w:space="0" w:color="F79646"/>
            </w:tcBorders>
            <w:shd w:val="clear" w:color="000000" w:fill="FCDDCF"/>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110.700.000,00</w:t>
            </w:r>
          </w:p>
        </w:tc>
        <w:tc>
          <w:tcPr>
            <w:tcW w:w="806" w:type="pct"/>
            <w:tcBorders>
              <w:top w:val="single" w:sz="8" w:space="0" w:color="F79646"/>
              <w:left w:val="nil"/>
              <w:bottom w:val="single" w:sz="8" w:space="0" w:color="F79646"/>
              <w:right w:val="single" w:sz="8" w:space="0" w:color="F79646"/>
            </w:tcBorders>
            <w:shd w:val="clear" w:color="000000" w:fill="FCDDCF"/>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33.978.000,00</w:t>
            </w:r>
          </w:p>
        </w:tc>
        <w:tc>
          <w:tcPr>
            <w:tcW w:w="867" w:type="pct"/>
            <w:tcBorders>
              <w:top w:val="single" w:sz="8" w:space="0" w:color="F79646"/>
              <w:left w:val="nil"/>
              <w:bottom w:val="single" w:sz="8" w:space="0" w:color="F79646"/>
              <w:right w:val="single" w:sz="8" w:space="0" w:color="F79646"/>
            </w:tcBorders>
            <w:shd w:val="clear" w:color="000000" w:fill="FCDDCF"/>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144.678.000,00</w:t>
            </w:r>
          </w:p>
        </w:tc>
      </w:tr>
      <w:tr w:rsidR="00734E11" w:rsidRPr="00734E11" w:rsidTr="00734E11">
        <w:trPr>
          <w:trHeight w:val="330"/>
        </w:trPr>
        <w:tc>
          <w:tcPr>
            <w:tcW w:w="2461" w:type="pct"/>
            <w:tcBorders>
              <w:top w:val="nil"/>
              <w:left w:val="single" w:sz="8" w:space="0" w:color="F79646"/>
              <w:bottom w:val="single" w:sz="8" w:space="0" w:color="F79646"/>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Porez i prirez na dohodak - decentralizacija</w:t>
            </w:r>
          </w:p>
        </w:tc>
        <w:tc>
          <w:tcPr>
            <w:tcW w:w="867" w:type="pct"/>
            <w:tcBorders>
              <w:top w:val="nil"/>
              <w:left w:val="nil"/>
              <w:bottom w:val="single" w:sz="8" w:space="0" w:color="F79646"/>
              <w:right w:val="single" w:sz="8" w:space="0" w:color="F79646"/>
            </w:tcBorders>
            <w:shd w:val="clear" w:color="000000" w:fill="FCDDCF"/>
            <w:vAlign w:val="bottom"/>
            <w:hideMark/>
          </w:tcPr>
          <w:p w:rsidR="00734E11" w:rsidRPr="00734E11" w:rsidRDefault="00734E11">
            <w:pPr>
              <w:jc w:val="center"/>
              <w:rPr>
                <w:rFonts w:ascii="Arial" w:hAnsi="Arial" w:cs="Arial"/>
                <w:color w:val="000000"/>
                <w:sz w:val="20"/>
                <w:szCs w:val="20"/>
              </w:rPr>
            </w:pPr>
            <w:r w:rsidRPr="00734E11">
              <w:rPr>
                <w:rFonts w:ascii="Arial" w:hAnsi="Arial" w:cs="Arial"/>
                <w:color w:val="000000"/>
                <w:sz w:val="20"/>
                <w:szCs w:val="20"/>
              </w:rPr>
              <w:t>23.500.000,00</w:t>
            </w:r>
          </w:p>
        </w:tc>
        <w:tc>
          <w:tcPr>
            <w:tcW w:w="806" w:type="pct"/>
            <w:tcBorders>
              <w:top w:val="nil"/>
              <w:left w:val="nil"/>
              <w:bottom w:val="single" w:sz="8" w:space="0" w:color="F79646"/>
              <w:right w:val="single" w:sz="8" w:space="0" w:color="F79646"/>
            </w:tcBorders>
            <w:shd w:val="clear" w:color="000000" w:fill="FCDDCF"/>
            <w:vAlign w:val="bottom"/>
            <w:hideMark/>
          </w:tcPr>
          <w:p w:rsidR="00734E11" w:rsidRPr="00734E11" w:rsidRDefault="00734E11">
            <w:pPr>
              <w:jc w:val="center"/>
              <w:rPr>
                <w:rFonts w:ascii="Arial" w:hAnsi="Arial" w:cs="Arial"/>
                <w:color w:val="000000"/>
                <w:sz w:val="20"/>
                <w:szCs w:val="20"/>
              </w:rPr>
            </w:pPr>
            <w:r w:rsidRPr="00734E11">
              <w:rPr>
                <w:rFonts w:ascii="Arial" w:hAnsi="Arial" w:cs="Arial"/>
                <w:color w:val="000000"/>
                <w:sz w:val="20"/>
                <w:szCs w:val="20"/>
              </w:rPr>
              <w:t>4.822.000,00</w:t>
            </w:r>
          </w:p>
        </w:tc>
        <w:tc>
          <w:tcPr>
            <w:tcW w:w="867" w:type="pct"/>
            <w:tcBorders>
              <w:top w:val="nil"/>
              <w:left w:val="nil"/>
              <w:bottom w:val="single" w:sz="8" w:space="0" w:color="F79646"/>
              <w:right w:val="single" w:sz="8" w:space="0" w:color="F79646"/>
            </w:tcBorders>
            <w:shd w:val="clear" w:color="000000" w:fill="FCDDCF"/>
            <w:vAlign w:val="bottom"/>
            <w:hideMark/>
          </w:tcPr>
          <w:p w:rsidR="00734E11" w:rsidRPr="00734E11" w:rsidRDefault="00734E11">
            <w:pPr>
              <w:jc w:val="center"/>
              <w:rPr>
                <w:rFonts w:ascii="Arial" w:hAnsi="Arial" w:cs="Arial"/>
                <w:color w:val="000000"/>
                <w:sz w:val="20"/>
                <w:szCs w:val="20"/>
              </w:rPr>
            </w:pPr>
            <w:r w:rsidRPr="00734E11">
              <w:rPr>
                <w:rFonts w:ascii="Arial" w:hAnsi="Arial" w:cs="Arial"/>
                <w:color w:val="000000"/>
                <w:sz w:val="20"/>
                <w:szCs w:val="20"/>
              </w:rPr>
              <w:t>28.322.000,00</w:t>
            </w:r>
          </w:p>
        </w:tc>
      </w:tr>
      <w:tr w:rsidR="00734E11" w:rsidRPr="00734E11" w:rsidTr="00734E11">
        <w:trPr>
          <w:trHeight w:val="330"/>
        </w:trPr>
        <w:tc>
          <w:tcPr>
            <w:tcW w:w="2461" w:type="pct"/>
            <w:tcBorders>
              <w:top w:val="nil"/>
              <w:left w:val="single" w:sz="8" w:space="0" w:color="F79646"/>
              <w:bottom w:val="single" w:sz="8" w:space="0" w:color="F79646"/>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 xml:space="preserve"> Ukupno:   </w:t>
            </w:r>
          </w:p>
        </w:tc>
        <w:tc>
          <w:tcPr>
            <w:tcW w:w="867" w:type="pct"/>
            <w:tcBorders>
              <w:top w:val="nil"/>
              <w:left w:val="nil"/>
              <w:bottom w:val="single" w:sz="8" w:space="0" w:color="F79646"/>
              <w:right w:val="single" w:sz="8" w:space="0" w:color="F79646"/>
            </w:tcBorders>
            <w:shd w:val="clear" w:color="000000" w:fill="FCDDCF"/>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134.200.000,00</w:t>
            </w:r>
          </w:p>
        </w:tc>
        <w:tc>
          <w:tcPr>
            <w:tcW w:w="806"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38.800.000,00</w:t>
            </w:r>
          </w:p>
        </w:tc>
        <w:tc>
          <w:tcPr>
            <w:tcW w:w="867" w:type="pct"/>
            <w:tcBorders>
              <w:top w:val="nil"/>
              <w:left w:val="nil"/>
              <w:bottom w:val="single" w:sz="8" w:space="0" w:color="F79646"/>
              <w:right w:val="single" w:sz="8" w:space="0" w:color="F79646"/>
            </w:tcBorders>
            <w:shd w:val="clear" w:color="000000" w:fill="FCDDCF"/>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173.000.000,00</w:t>
            </w:r>
          </w:p>
        </w:tc>
      </w:tr>
    </w:tbl>
    <w:p w:rsidR="00533D20" w:rsidRDefault="00533D20" w:rsidP="00CC5183">
      <w:pPr>
        <w:jc w:val="both"/>
        <w:rPr>
          <w:rFonts w:ascii="Arial" w:hAnsi="Arial" w:cs="Arial"/>
          <w:sz w:val="22"/>
          <w:szCs w:val="22"/>
        </w:rPr>
      </w:pPr>
    </w:p>
    <w:p w:rsidR="00154846" w:rsidRDefault="00533D20" w:rsidP="00CC5183">
      <w:pPr>
        <w:jc w:val="both"/>
        <w:rPr>
          <w:rFonts w:ascii="Arial" w:hAnsi="Arial" w:cs="Arial"/>
          <w:sz w:val="22"/>
          <w:szCs w:val="22"/>
        </w:rPr>
      </w:pPr>
      <w:r>
        <w:rPr>
          <w:rFonts w:ascii="Arial" w:hAnsi="Arial" w:cs="Arial"/>
          <w:sz w:val="22"/>
          <w:szCs w:val="22"/>
        </w:rPr>
        <w:t>Povećana je naplata i</w:t>
      </w:r>
      <w:r w:rsidR="00734E11">
        <w:rPr>
          <w:rFonts w:ascii="Arial" w:hAnsi="Arial" w:cs="Arial"/>
          <w:sz w:val="22"/>
          <w:szCs w:val="22"/>
        </w:rPr>
        <w:t xml:space="preserve"> svih vlastitih </w:t>
      </w:r>
      <w:r>
        <w:rPr>
          <w:rFonts w:ascii="Arial" w:hAnsi="Arial" w:cs="Arial"/>
          <w:sz w:val="22"/>
          <w:szCs w:val="22"/>
        </w:rPr>
        <w:t>porez</w:t>
      </w:r>
      <w:r w:rsidR="00734E11">
        <w:rPr>
          <w:rFonts w:ascii="Arial" w:hAnsi="Arial" w:cs="Arial"/>
          <w:sz w:val="22"/>
          <w:szCs w:val="22"/>
        </w:rPr>
        <w:t xml:space="preserve">nih prihoda u ukupnom iznosu od 2.280.000,00 kn, te sada iznose 20,6 mil.kn. Sveukupno porezni prihodi iznose 193,6 mil.kn </w:t>
      </w:r>
    </w:p>
    <w:p w:rsidR="00734E11" w:rsidRDefault="00734E11" w:rsidP="00CC5183">
      <w:pPr>
        <w:jc w:val="both"/>
        <w:rPr>
          <w:rFonts w:ascii="Arial" w:hAnsi="Arial" w:cs="Arial"/>
          <w:sz w:val="22"/>
          <w:szCs w:val="22"/>
        </w:rPr>
      </w:pPr>
    </w:p>
    <w:tbl>
      <w:tblPr>
        <w:tblW w:w="5000" w:type="pct"/>
        <w:tblLook w:val="0600" w:firstRow="0" w:lastRow="0" w:firstColumn="0" w:lastColumn="0" w:noHBand="1" w:noVBand="1"/>
      </w:tblPr>
      <w:tblGrid>
        <w:gridCol w:w="4109"/>
        <w:gridCol w:w="1496"/>
        <w:gridCol w:w="1384"/>
        <w:gridCol w:w="1496"/>
      </w:tblGrid>
      <w:tr w:rsidR="00734E11" w:rsidRPr="00734E11" w:rsidTr="00734E11">
        <w:trPr>
          <w:trHeight w:val="315"/>
        </w:trPr>
        <w:tc>
          <w:tcPr>
            <w:tcW w:w="2586" w:type="pct"/>
            <w:tcBorders>
              <w:top w:val="single" w:sz="8" w:space="0" w:color="F79646"/>
              <w:left w:val="single" w:sz="8" w:space="0" w:color="F79646"/>
              <w:bottom w:val="nil"/>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VRSTA POREZA</w:t>
            </w:r>
          </w:p>
        </w:tc>
        <w:tc>
          <w:tcPr>
            <w:tcW w:w="818" w:type="pct"/>
            <w:tcBorders>
              <w:top w:val="single" w:sz="8" w:space="0" w:color="F79646"/>
              <w:left w:val="nil"/>
              <w:bottom w:val="nil"/>
              <w:right w:val="single" w:sz="8" w:space="0" w:color="F79646"/>
            </w:tcBorders>
            <w:shd w:val="clear" w:color="000000" w:fill="FCDDCF"/>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Proračun 2022</w:t>
            </w:r>
          </w:p>
        </w:tc>
        <w:tc>
          <w:tcPr>
            <w:tcW w:w="778" w:type="pct"/>
            <w:tcBorders>
              <w:top w:val="single" w:sz="8" w:space="0" w:color="F79646"/>
              <w:left w:val="nil"/>
              <w:bottom w:val="nil"/>
              <w:right w:val="single" w:sz="8" w:space="0" w:color="F79646"/>
            </w:tcBorders>
            <w:shd w:val="clear" w:color="000000" w:fill="FDEFE9"/>
            <w:vAlign w:val="bottom"/>
            <w:hideMark/>
          </w:tcPr>
          <w:p w:rsidR="00734E11" w:rsidRPr="00734E11" w:rsidRDefault="00734E11">
            <w:pPr>
              <w:jc w:val="center"/>
              <w:rPr>
                <w:rFonts w:ascii="Arial" w:hAnsi="Arial" w:cs="Arial"/>
                <w:color w:val="000000"/>
                <w:sz w:val="20"/>
                <w:szCs w:val="20"/>
              </w:rPr>
            </w:pPr>
            <w:r w:rsidRPr="00734E11">
              <w:rPr>
                <w:rFonts w:ascii="Arial" w:hAnsi="Arial" w:cs="Arial"/>
                <w:color w:val="000000"/>
                <w:sz w:val="20"/>
                <w:szCs w:val="20"/>
              </w:rPr>
              <w:t xml:space="preserve">Razlika </w:t>
            </w:r>
          </w:p>
        </w:tc>
        <w:tc>
          <w:tcPr>
            <w:tcW w:w="818" w:type="pct"/>
            <w:tcBorders>
              <w:top w:val="single" w:sz="8" w:space="0" w:color="F79646"/>
              <w:left w:val="nil"/>
              <w:bottom w:val="nil"/>
              <w:right w:val="single" w:sz="8" w:space="0" w:color="F79646"/>
            </w:tcBorders>
            <w:shd w:val="clear" w:color="000000" w:fill="FCDDCF"/>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 xml:space="preserve">Novi plan </w:t>
            </w:r>
          </w:p>
        </w:tc>
      </w:tr>
      <w:tr w:rsidR="00734E11" w:rsidRPr="00734E11" w:rsidTr="00734E11">
        <w:trPr>
          <w:trHeight w:val="330"/>
        </w:trPr>
        <w:tc>
          <w:tcPr>
            <w:tcW w:w="2586" w:type="pct"/>
            <w:tcBorders>
              <w:top w:val="single" w:sz="8" w:space="0" w:color="F79646"/>
              <w:left w:val="single" w:sz="8" w:space="0" w:color="F79646"/>
              <w:bottom w:val="single" w:sz="8" w:space="0" w:color="F79646"/>
              <w:right w:val="single" w:sz="8" w:space="0" w:color="F79646"/>
            </w:tcBorders>
            <w:shd w:val="clear" w:color="auto" w:fill="auto"/>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Porez na nasljedstva i darove</w:t>
            </w:r>
          </w:p>
        </w:tc>
        <w:tc>
          <w:tcPr>
            <w:tcW w:w="818" w:type="pct"/>
            <w:tcBorders>
              <w:top w:val="single" w:sz="8" w:space="0" w:color="F79646"/>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900.000,00</w:t>
            </w:r>
          </w:p>
        </w:tc>
        <w:tc>
          <w:tcPr>
            <w:tcW w:w="778" w:type="pct"/>
            <w:tcBorders>
              <w:top w:val="single" w:sz="8" w:space="0" w:color="F79646"/>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750.000,00</w:t>
            </w:r>
          </w:p>
        </w:tc>
        <w:tc>
          <w:tcPr>
            <w:tcW w:w="818" w:type="pct"/>
            <w:tcBorders>
              <w:top w:val="single" w:sz="8" w:space="0" w:color="F79646"/>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1.650.000,00</w:t>
            </w:r>
          </w:p>
        </w:tc>
      </w:tr>
      <w:tr w:rsidR="00734E11" w:rsidRPr="00734E11" w:rsidTr="00734E11">
        <w:trPr>
          <w:trHeight w:val="330"/>
        </w:trPr>
        <w:tc>
          <w:tcPr>
            <w:tcW w:w="2586" w:type="pct"/>
            <w:tcBorders>
              <w:top w:val="nil"/>
              <w:left w:val="single" w:sz="8" w:space="0" w:color="F79646"/>
              <w:bottom w:val="single" w:sz="8" w:space="0" w:color="F79646"/>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Porez na CMV</w:t>
            </w:r>
          </w:p>
        </w:tc>
        <w:tc>
          <w:tcPr>
            <w:tcW w:w="81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16.000.000,00</w:t>
            </w:r>
          </w:p>
        </w:tc>
        <w:tc>
          <w:tcPr>
            <w:tcW w:w="77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1.100.000,00</w:t>
            </w:r>
          </w:p>
        </w:tc>
        <w:tc>
          <w:tcPr>
            <w:tcW w:w="81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17.100.000,00</w:t>
            </w:r>
          </w:p>
        </w:tc>
      </w:tr>
      <w:tr w:rsidR="00734E11" w:rsidRPr="00734E11" w:rsidTr="00734E11">
        <w:trPr>
          <w:trHeight w:val="330"/>
        </w:trPr>
        <w:tc>
          <w:tcPr>
            <w:tcW w:w="2586" w:type="pct"/>
            <w:tcBorders>
              <w:top w:val="nil"/>
              <w:left w:val="single" w:sz="8" w:space="0" w:color="F79646"/>
              <w:bottom w:val="single" w:sz="8" w:space="0" w:color="F79646"/>
              <w:right w:val="single" w:sz="8" w:space="0" w:color="F79646"/>
            </w:tcBorders>
            <w:shd w:val="clear" w:color="auto" w:fill="auto"/>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Porez na plovila</w:t>
            </w:r>
          </w:p>
        </w:tc>
        <w:tc>
          <w:tcPr>
            <w:tcW w:w="818" w:type="pct"/>
            <w:tcBorders>
              <w:top w:val="nil"/>
              <w:left w:val="nil"/>
              <w:bottom w:val="single" w:sz="8" w:space="0" w:color="F79646"/>
              <w:right w:val="single" w:sz="8" w:space="0" w:color="F79646"/>
            </w:tcBorders>
            <w:shd w:val="clear" w:color="auto" w:fill="auto"/>
            <w:vAlign w:val="bottom"/>
            <w:hideMark/>
          </w:tcPr>
          <w:p w:rsidR="00734E11" w:rsidRPr="00734E11" w:rsidRDefault="00734E11" w:rsidP="00734E11">
            <w:pPr>
              <w:jc w:val="right"/>
              <w:rPr>
                <w:rFonts w:ascii="Arial" w:hAnsi="Arial" w:cs="Arial"/>
                <w:color w:val="000000"/>
                <w:sz w:val="20"/>
                <w:szCs w:val="20"/>
              </w:rPr>
            </w:pPr>
            <w:r w:rsidRPr="00734E11">
              <w:rPr>
                <w:rFonts w:ascii="Arial" w:hAnsi="Arial" w:cs="Arial"/>
                <w:color w:val="000000"/>
                <w:sz w:val="20"/>
                <w:szCs w:val="20"/>
              </w:rPr>
              <w:t>1.350.000,00</w:t>
            </w:r>
          </w:p>
        </w:tc>
        <w:tc>
          <w:tcPr>
            <w:tcW w:w="778" w:type="pct"/>
            <w:tcBorders>
              <w:top w:val="nil"/>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350.000,00</w:t>
            </w:r>
          </w:p>
        </w:tc>
        <w:tc>
          <w:tcPr>
            <w:tcW w:w="818" w:type="pct"/>
            <w:tcBorders>
              <w:top w:val="nil"/>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1.700.000,00</w:t>
            </w:r>
          </w:p>
        </w:tc>
      </w:tr>
      <w:tr w:rsidR="00734E11" w:rsidRPr="00734E11" w:rsidTr="00734E11">
        <w:trPr>
          <w:trHeight w:val="330"/>
        </w:trPr>
        <w:tc>
          <w:tcPr>
            <w:tcW w:w="2586" w:type="pct"/>
            <w:tcBorders>
              <w:top w:val="nil"/>
              <w:left w:val="single" w:sz="8" w:space="0" w:color="F79646"/>
              <w:bottom w:val="single" w:sz="8" w:space="0" w:color="F79646"/>
              <w:right w:val="single" w:sz="8" w:space="0" w:color="F79646"/>
            </w:tcBorders>
            <w:shd w:val="clear" w:color="000000" w:fill="FDEFE9"/>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 xml:space="preserve">Porez na automate na zabavne igre </w:t>
            </w:r>
          </w:p>
        </w:tc>
        <w:tc>
          <w:tcPr>
            <w:tcW w:w="81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70.000,00</w:t>
            </w:r>
          </w:p>
        </w:tc>
        <w:tc>
          <w:tcPr>
            <w:tcW w:w="77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80.000,00</w:t>
            </w:r>
          </w:p>
        </w:tc>
        <w:tc>
          <w:tcPr>
            <w:tcW w:w="818" w:type="pct"/>
            <w:tcBorders>
              <w:top w:val="nil"/>
              <w:left w:val="nil"/>
              <w:bottom w:val="single" w:sz="8" w:space="0" w:color="F79646"/>
              <w:right w:val="single" w:sz="8" w:space="0" w:color="F79646"/>
            </w:tcBorders>
            <w:shd w:val="clear" w:color="000000" w:fill="FDEFE9"/>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150.000,00</w:t>
            </w:r>
          </w:p>
        </w:tc>
      </w:tr>
      <w:tr w:rsidR="00734E11" w:rsidRPr="00734E11" w:rsidTr="00734E11">
        <w:trPr>
          <w:trHeight w:val="330"/>
        </w:trPr>
        <w:tc>
          <w:tcPr>
            <w:tcW w:w="2586" w:type="pct"/>
            <w:tcBorders>
              <w:top w:val="nil"/>
              <w:left w:val="single" w:sz="8" w:space="0" w:color="F79646"/>
              <w:bottom w:val="single" w:sz="8" w:space="0" w:color="F79646"/>
              <w:right w:val="single" w:sz="8" w:space="0" w:color="F79646"/>
            </w:tcBorders>
            <w:shd w:val="clear" w:color="auto" w:fill="auto"/>
            <w:vAlign w:val="bottom"/>
            <w:hideMark/>
          </w:tcPr>
          <w:p w:rsidR="00734E11" w:rsidRPr="00734E11" w:rsidRDefault="00734E11">
            <w:pPr>
              <w:rPr>
                <w:rFonts w:ascii="Arial" w:hAnsi="Arial" w:cs="Arial"/>
                <w:color w:val="000000"/>
                <w:sz w:val="20"/>
                <w:szCs w:val="20"/>
              </w:rPr>
            </w:pPr>
            <w:r w:rsidRPr="00734E11">
              <w:rPr>
                <w:rFonts w:ascii="Arial" w:hAnsi="Arial" w:cs="Arial"/>
                <w:color w:val="000000"/>
                <w:sz w:val="20"/>
                <w:szCs w:val="20"/>
              </w:rPr>
              <w:t xml:space="preserve">Ukupno vlastitih porezi </w:t>
            </w:r>
          </w:p>
        </w:tc>
        <w:tc>
          <w:tcPr>
            <w:tcW w:w="818" w:type="pct"/>
            <w:tcBorders>
              <w:top w:val="nil"/>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18.320.000,00</w:t>
            </w:r>
          </w:p>
        </w:tc>
        <w:tc>
          <w:tcPr>
            <w:tcW w:w="778" w:type="pct"/>
            <w:tcBorders>
              <w:top w:val="nil"/>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2.280.000,00</w:t>
            </w:r>
          </w:p>
        </w:tc>
        <w:tc>
          <w:tcPr>
            <w:tcW w:w="818" w:type="pct"/>
            <w:tcBorders>
              <w:top w:val="nil"/>
              <w:left w:val="nil"/>
              <w:bottom w:val="single" w:sz="8" w:space="0" w:color="F79646"/>
              <w:right w:val="single" w:sz="8" w:space="0" w:color="F79646"/>
            </w:tcBorders>
            <w:shd w:val="clear" w:color="auto" w:fill="auto"/>
            <w:vAlign w:val="bottom"/>
            <w:hideMark/>
          </w:tcPr>
          <w:p w:rsidR="00734E11" w:rsidRPr="00734E11" w:rsidRDefault="00734E11">
            <w:pPr>
              <w:jc w:val="right"/>
              <w:rPr>
                <w:rFonts w:ascii="Arial" w:hAnsi="Arial" w:cs="Arial"/>
                <w:color w:val="000000"/>
                <w:sz w:val="20"/>
                <w:szCs w:val="20"/>
              </w:rPr>
            </w:pPr>
            <w:r w:rsidRPr="00734E11">
              <w:rPr>
                <w:rFonts w:ascii="Arial" w:hAnsi="Arial" w:cs="Arial"/>
                <w:color w:val="000000"/>
                <w:sz w:val="20"/>
                <w:szCs w:val="20"/>
              </w:rPr>
              <w:t>20.600.000,00</w:t>
            </w:r>
          </w:p>
        </w:tc>
      </w:tr>
    </w:tbl>
    <w:p w:rsidR="00154846" w:rsidRDefault="00154846" w:rsidP="00CC5183">
      <w:pPr>
        <w:jc w:val="both"/>
        <w:rPr>
          <w:rFonts w:ascii="Arial" w:hAnsi="Arial" w:cs="Arial"/>
          <w:sz w:val="22"/>
          <w:szCs w:val="22"/>
        </w:rPr>
      </w:pPr>
    </w:p>
    <w:p w:rsidR="00652FD5" w:rsidRDefault="00652FD5" w:rsidP="00734E11">
      <w:pPr>
        <w:jc w:val="both"/>
        <w:rPr>
          <w:rFonts w:ascii="Arial" w:hAnsi="Arial" w:cs="Arial"/>
          <w:sz w:val="22"/>
          <w:szCs w:val="22"/>
        </w:rPr>
      </w:pPr>
      <w:r w:rsidRPr="0020215D">
        <w:rPr>
          <w:rFonts w:ascii="Arial" w:hAnsi="Arial" w:cs="Arial"/>
          <w:sz w:val="22"/>
          <w:szCs w:val="22"/>
        </w:rPr>
        <w:t>Smanjenje prihoda od pomoći iz proračuna se u najvećem dijelu odnosi na umanjenje planiranih uplata</w:t>
      </w:r>
      <w:r w:rsidR="00FB6255" w:rsidRPr="0020215D">
        <w:rPr>
          <w:rFonts w:ascii="Arial" w:hAnsi="Arial" w:cs="Arial"/>
          <w:sz w:val="22"/>
          <w:szCs w:val="22"/>
        </w:rPr>
        <w:t xml:space="preserve"> za</w:t>
      </w:r>
      <w:r w:rsidR="00FB6255">
        <w:rPr>
          <w:rFonts w:ascii="Arial" w:hAnsi="Arial" w:cs="Arial"/>
          <w:sz w:val="22"/>
          <w:szCs w:val="22"/>
        </w:rPr>
        <w:t xml:space="preserve"> EU projekte </w:t>
      </w:r>
      <w:r w:rsidR="00862EB0">
        <w:rPr>
          <w:rFonts w:ascii="Arial" w:hAnsi="Arial" w:cs="Arial"/>
          <w:sz w:val="22"/>
          <w:szCs w:val="22"/>
        </w:rPr>
        <w:t xml:space="preserve">Firespil, </w:t>
      </w:r>
      <w:r w:rsidR="00FB6255">
        <w:rPr>
          <w:rFonts w:ascii="Arial" w:hAnsi="Arial" w:cs="Arial"/>
          <w:sz w:val="22"/>
          <w:szCs w:val="22"/>
        </w:rPr>
        <w:t xml:space="preserve">KLIK – ERDF te za </w:t>
      </w:r>
      <w:r w:rsidR="00862EB0">
        <w:rPr>
          <w:rFonts w:ascii="Arial" w:hAnsi="Arial" w:cs="Arial"/>
          <w:sz w:val="22"/>
          <w:szCs w:val="22"/>
        </w:rPr>
        <w:t xml:space="preserve">program </w:t>
      </w:r>
      <w:r w:rsidR="00FB6255">
        <w:rPr>
          <w:rFonts w:ascii="Arial" w:hAnsi="Arial" w:cs="Arial"/>
          <w:sz w:val="22"/>
          <w:szCs w:val="22"/>
        </w:rPr>
        <w:t xml:space="preserve">ulaganja </w:t>
      </w:r>
      <w:r w:rsidR="00862EB0">
        <w:rPr>
          <w:rFonts w:ascii="Arial" w:hAnsi="Arial" w:cs="Arial"/>
          <w:sz w:val="22"/>
          <w:szCs w:val="22"/>
        </w:rPr>
        <w:t>u</w:t>
      </w:r>
      <w:r w:rsidR="00FB6255">
        <w:rPr>
          <w:rFonts w:ascii="Arial" w:hAnsi="Arial" w:cs="Arial"/>
          <w:sz w:val="22"/>
          <w:szCs w:val="22"/>
        </w:rPr>
        <w:t xml:space="preserve"> škole </w:t>
      </w:r>
      <w:r w:rsidR="00862EB0">
        <w:rPr>
          <w:rFonts w:ascii="Arial" w:hAnsi="Arial" w:cs="Arial"/>
          <w:sz w:val="22"/>
          <w:szCs w:val="22"/>
        </w:rPr>
        <w:t xml:space="preserve">iz EU sredstava </w:t>
      </w:r>
      <w:r w:rsidR="00FB6255">
        <w:rPr>
          <w:rFonts w:ascii="Arial" w:hAnsi="Arial" w:cs="Arial"/>
          <w:sz w:val="22"/>
          <w:szCs w:val="22"/>
        </w:rPr>
        <w:t>čija se realizacija očekuje u sljedećoj godini.</w:t>
      </w:r>
      <w:r>
        <w:rPr>
          <w:rFonts w:ascii="Arial" w:hAnsi="Arial" w:cs="Arial"/>
          <w:sz w:val="22"/>
          <w:szCs w:val="22"/>
        </w:rPr>
        <w:t xml:space="preserve"> </w:t>
      </w:r>
    </w:p>
    <w:p w:rsidR="00862EB0" w:rsidRDefault="00862EB0" w:rsidP="00734E11">
      <w:pPr>
        <w:jc w:val="both"/>
        <w:rPr>
          <w:rFonts w:ascii="Arial" w:hAnsi="Arial" w:cs="Arial"/>
          <w:sz w:val="22"/>
          <w:szCs w:val="22"/>
        </w:rPr>
      </w:pPr>
    </w:p>
    <w:p w:rsidR="00862EB0" w:rsidRDefault="00862EB0" w:rsidP="00734E11">
      <w:pPr>
        <w:jc w:val="both"/>
        <w:rPr>
          <w:rFonts w:ascii="Arial" w:hAnsi="Arial" w:cs="Arial"/>
          <w:sz w:val="22"/>
          <w:szCs w:val="22"/>
        </w:rPr>
      </w:pPr>
      <w:r>
        <w:rPr>
          <w:rFonts w:ascii="Arial" w:hAnsi="Arial" w:cs="Arial"/>
          <w:sz w:val="22"/>
          <w:szCs w:val="22"/>
        </w:rPr>
        <w:lastRenderedPageBreak/>
        <w:t>Radi dobre naplate poreza na dohodak, smanjene su pomoći izravnanja za decentralizirane funkcije koja uplaćuje državni proračun.</w:t>
      </w:r>
    </w:p>
    <w:p w:rsidR="00862EB0" w:rsidRDefault="00862EB0" w:rsidP="00734E11">
      <w:pPr>
        <w:jc w:val="both"/>
        <w:rPr>
          <w:rFonts w:ascii="Arial" w:hAnsi="Arial" w:cs="Arial"/>
          <w:sz w:val="22"/>
          <w:szCs w:val="22"/>
        </w:rPr>
      </w:pPr>
    </w:p>
    <w:p w:rsidR="00862EB0" w:rsidRDefault="00862EB0" w:rsidP="00734E11">
      <w:pPr>
        <w:jc w:val="both"/>
        <w:rPr>
          <w:rFonts w:ascii="Arial" w:hAnsi="Arial" w:cs="Arial"/>
          <w:sz w:val="22"/>
          <w:szCs w:val="22"/>
        </w:rPr>
      </w:pPr>
      <w:r>
        <w:rPr>
          <w:rFonts w:ascii="Arial" w:hAnsi="Arial" w:cs="Arial"/>
          <w:sz w:val="22"/>
          <w:szCs w:val="22"/>
        </w:rPr>
        <w:t xml:space="preserve">Prihodi od imovine umanjeni su radi naplate kamata na oročena sredstva Plinare, čija se realizacija očekuje u sljedećoj godini. Sukladno naplati koncesija povećana su planska sredstva za koncesije na pomorsko dobro i naknade za uporabu pomorskog dobra, </w:t>
      </w:r>
      <w:r w:rsidR="005D6BD3">
        <w:rPr>
          <w:rFonts w:ascii="Arial" w:hAnsi="Arial" w:cs="Arial"/>
          <w:sz w:val="22"/>
          <w:szCs w:val="22"/>
        </w:rPr>
        <w:t xml:space="preserve">sveukupno u iznosu od 1.985.980,00 kn i naknade za otkup količine neenergetskih minerala za 350.000,00 kn, </w:t>
      </w:r>
      <w:r>
        <w:rPr>
          <w:rFonts w:ascii="Arial" w:hAnsi="Arial" w:cs="Arial"/>
          <w:sz w:val="22"/>
          <w:szCs w:val="22"/>
        </w:rPr>
        <w:t xml:space="preserve">dok su </w:t>
      </w:r>
      <w:r w:rsidR="005D6BD3">
        <w:rPr>
          <w:rFonts w:ascii="Arial" w:hAnsi="Arial" w:cs="Arial"/>
          <w:sz w:val="22"/>
          <w:szCs w:val="22"/>
        </w:rPr>
        <w:t xml:space="preserve">smanjene </w:t>
      </w:r>
      <w:r>
        <w:rPr>
          <w:rFonts w:ascii="Arial" w:hAnsi="Arial" w:cs="Arial"/>
          <w:sz w:val="22"/>
          <w:szCs w:val="22"/>
        </w:rPr>
        <w:t xml:space="preserve">koncesije </w:t>
      </w:r>
      <w:r w:rsidR="005D6BD3">
        <w:rPr>
          <w:rFonts w:ascii="Arial" w:hAnsi="Arial" w:cs="Arial"/>
          <w:sz w:val="22"/>
          <w:szCs w:val="22"/>
        </w:rPr>
        <w:t>za turističko zemljište u iznosu od 985.000,00 kn, te naknade za legalizaciju 650.000,00 kn. Županijske upravne pristojbe te državni biljezi smanjeni su za 306.000,00 kn, dok su naknade za matični ured povećane za 350.000,00 kn</w:t>
      </w:r>
    </w:p>
    <w:p w:rsidR="00652FD5" w:rsidRDefault="00652FD5" w:rsidP="00CC5183">
      <w:pPr>
        <w:jc w:val="both"/>
        <w:rPr>
          <w:rFonts w:ascii="Arial" w:hAnsi="Arial" w:cs="Arial"/>
          <w:sz w:val="22"/>
          <w:szCs w:val="22"/>
        </w:rPr>
      </w:pPr>
    </w:p>
    <w:p w:rsidR="00441FE4" w:rsidRDefault="00734E11" w:rsidP="00CC5183">
      <w:pPr>
        <w:jc w:val="both"/>
        <w:rPr>
          <w:rFonts w:ascii="Arial" w:hAnsi="Arial" w:cs="Arial"/>
          <w:sz w:val="22"/>
          <w:szCs w:val="22"/>
        </w:rPr>
      </w:pPr>
      <w:r>
        <w:rPr>
          <w:rFonts w:ascii="Arial" w:hAnsi="Arial" w:cs="Arial"/>
          <w:sz w:val="22"/>
          <w:szCs w:val="22"/>
        </w:rPr>
        <w:t>Ne p</w:t>
      </w:r>
      <w:r w:rsidR="006375EB">
        <w:rPr>
          <w:rFonts w:ascii="Arial" w:hAnsi="Arial" w:cs="Arial"/>
          <w:sz w:val="22"/>
          <w:szCs w:val="22"/>
        </w:rPr>
        <w:t>laniraju se i sredstva od Kaštijuna za dug po neuplaćenim obvezama sufinanciranja otplate kredita</w:t>
      </w:r>
      <w:r>
        <w:rPr>
          <w:rFonts w:ascii="Arial" w:hAnsi="Arial" w:cs="Arial"/>
          <w:sz w:val="22"/>
          <w:szCs w:val="22"/>
        </w:rPr>
        <w:t>, nego se ta potraživanja planiraju u slijedećoj godini</w:t>
      </w:r>
      <w:r w:rsidR="006375EB">
        <w:rPr>
          <w:rFonts w:ascii="Arial" w:hAnsi="Arial" w:cs="Arial"/>
          <w:sz w:val="22"/>
          <w:szCs w:val="22"/>
        </w:rPr>
        <w:t xml:space="preserve">. </w:t>
      </w:r>
    </w:p>
    <w:p w:rsidR="005D6BD3" w:rsidRDefault="005D6BD3" w:rsidP="00CC5183">
      <w:pPr>
        <w:jc w:val="both"/>
        <w:rPr>
          <w:rFonts w:ascii="Arial" w:hAnsi="Arial" w:cs="Arial"/>
          <w:sz w:val="22"/>
          <w:szCs w:val="22"/>
        </w:rPr>
      </w:pPr>
    </w:p>
    <w:p w:rsidR="005D6BD3" w:rsidRDefault="005D6BD3" w:rsidP="00CC5183">
      <w:pPr>
        <w:jc w:val="both"/>
        <w:rPr>
          <w:rFonts w:ascii="Arial" w:hAnsi="Arial" w:cs="Arial"/>
          <w:sz w:val="22"/>
          <w:szCs w:val="22"/>
        </w:rPr>
      </w:pPr>
      <w:r>
        <w:rPr>
          <w:rFonts w:ascii="Arial" w:hAnsi="Arial" w:cs="Arial"/>
          <w:sz w:val="22"/>
          <w:szCs w:val="22"/>
        </w:rPr>
        <w:t>Zaduživanje za izgradnju Doma za starije osobe A.Štiglić Pula, te za kapitalna ulaganja u škole ne planiraju se u 2022. g. već se zaduživanje planira u sljedećoj godini.</w:t>
      </w:r>
    </w:p>
    <w:p w:rsidR="00441FE4" w:rsidRDefault="00441FE4" w:rsidP="00CC5183">
      <w:pPr>
        <w:jc w:val="both"/>
        <w:rPr>
          <w:rFonts w:ascii="Arial" w:hAnsi="Arial" w:cs="Arial"/>
          <w:sz w:val="22"/>
          <w:szCs w:val="22"/>
        </w:rPr>
      </w:pPr>
    </w:p>
    <w:p w:rsidR="00EA1FF9" w:rsidRDefault="00EA1FF9" w:rsidP="00CC5183">
      <w:pPr>
        <w:jc w:val="both"/>
        <w:rPr>
          <w:rFonts w:ascii="Arial" w:hAnsi="Arial" w:cs="Arial"/>
          <w:sz w:val="22"/>
          <w:szCs w:val="22"/>
        </w:rPr>
      </w:pPr>
      <w:r>
        <w:rPr>
          <w:rFonts w:ascii="Arial" w:hAnsi="Arial" w:cs="Arial"/>
          <w:sz w:val="22"/>
          <w:szCs w:val="22"/>
        </w:rPr>
        <w:t xml:space="preserve">PRIHODI PRORAČUNSKIH KORISNIKA </w:t>
      </w:r>
    </w:p>
    <w:p w:rsidR="00FB6255" w:rsidRDefault="00FB6255" w:rsidP="00CC5183">
      <w:pPr>
        <w:jc w:val="both"/>
        <w:rPr>
          <w:rFonts w:ascii="Arial" w:hAnsi="Arial" w:cs="Arial"/>
          <w:sz w:val="22"/>
          <w:szCs w:val="22"/>
        </w:rPr>
      </w:pPr>
    </w:p>
    <w:tbl>
      <w:tblPr>
        <w:tblW w:w="5000" w:type="pct"/>
        <w:tblLook w:val="04A0" w:firstRow="1" w:lastRow="0" w:firstColumn="1" w:lastColumn="0" w:noHBand="0" w:noVBand="1"/>
      </w:tblPr>
      <w:tblGrid>
        <w:gridCol w:w="785"/>
        <w:gridCol w:w="3178"/>
        <w:gridCol w:w="1702"/>
        <w:gridCol w:w="1368"/>
        <w:gridCol w:w="1462"/>
      </w:tblGrid>
      <w:tr w:rsidR="00FB6255" w:rsidTr="00091EF1">
        <w:trPr>
          <w:trHeight w:val="480"/>
        </w:trPr>
        <w:tc>
          <w:tcPr>
            <w:tcW w:w="462"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FB6255" w:rsidRDefault="00FB6255">
            <w:pPr>
              <w:rPr>
                <w:rFonts w:ascii="Arial" w:hAnsi="Arial" w:cs="Arial"/>
                <w:color w:val="000000"/>
                <w:sz w:val="16"/>
                <w:szCs w:val="16"/>
              </w:rPr>
            </w:pPr>
            <w:r>
              <w:rPr>
                <w:rFonts w:ascii="Arial" w:hAnsi="Arial" w:cs="Arial"/>
                <w:color w:val="000000"/>
                <w:sz w:val="16"/>
                <w:szCs w:val="16"/>
              </w:rPr>
              <w:t>RAČUN</w:t>
            </w:r>
          </w:p>
        </w:tc>
        <w:tc>
          <w:tcPr>
            <w:tcW w:w="1871" w:type="pct"/>
            <w:tcBorders>
              <w:top w:val="single" w:sz="4" w:space="0" w:color="auto"/>
              <w:left w:val="nil"/>
              <w:bottom w:val="single" w:sz="4" w:space="0" w:color="auto"/>
              <w:right w:val="single" w:sz="4" w:space="0" w:color="auto"/>
            </w:tcBorders>
            <w:shd w:val="clear" w:color="000000" w:fill="ECE9D8"/>
            <w:vAlign w:val="center"/>
            <w:hideMark/>
          </w:tcPr>
          <w:p w:rsidR="00FB6255" w:rsidRDefault="00FB6255">
            <w:pPr>
              <w:rPr>
                <w:rFonts w:ascii="Arial" w:hAnsi="Arial" w:cs="Arial"/>
                <w:color w:val="000000"/>
                <w:sz w:val="16"/>
                <w:szCs w:val="16"/>
              </w:rPr>
            </w:pPr>
            <w:r>
              <w:rPr>
                <w:rFonts w:ascii="Arial" w:hAnsi="Arial" w:cs="Arial"/>
                <w:color w:val="000000"/>
                <w:sz w:val="16"/>
                <w:szCs w:val="16"/>
              </w:rPr>
              <w:t>OPIS</w:t>
            </w:r>
          </w:p>
        </w:tc>
        <w:tc>
          <w:tcPr>
            <w:tcW w:w="1002" w:type="pct"/>
            <w:tcBorders>
              <w:top w:val="single" w:sz="4" w:space="0" w:color="auto"/>
              <w:left w:val="nil"/>
              <w:bottom w:val="single" w:sz="4" w:space="0" w:color="auto"/>
              <w:right w:val="single" w:sz="4" w:space="0" w:color="auto"/>
            </w:tcBorders>
            <w:shd w:val="clear" w:color="000000" w:fill="ECE9D8"/>
            <w:vAlign w:val="center"/>
            <w:hideMark/>
          </w:tcPr>
          <w:p w:rsidR="00FB6255" w:rsidRDefault="00FB6255">
            <w:pPr>
              <w:jc w:val="center"/>
              <w:rPr>
                <w:rFonts w:ascii="Arial" w:hAnsi="Arial" w:cs="Arial"/>
                <w:color w:val="000000"/>
                <w:sz w:val="16"/>
                <w:szCs w:val="16"/>
              </w:rPr>
            </w:pPr>
            <w:r>
              <w:rPr>
                <w:rFonts w:ascii="Arial" w:hAnsi="Arial" w:cs="Arial"/>
                <w:color w:val="000000"/>
                <w:sz w:val="16"/>
                <w:szCs w:val="16"/>
              </w:rPr>
              <w:t>PLAN</w:t>
            </w:r>
          </w:p>
        </w:tc>
        <w:tc>
          <w:tcPr>
            <w:tcW w:w="805" w:type="pct"/>
            <w:tcBorders>
              <w:top w:val="single" w:sz="4" w:space="0" w:color="auto"/>
              <w:left w:val="nil"/>
              <w:bottom w:val="single" w:sz="4" w:space="0" w:color="auto"/>
              <w:right w:val="single" w:sz="4" w:space="0" w:color="auto"/>
            </w:tcBorders>
            <w:shd w:val="clear" w:color="000000" w:fill="ECE9D8"/>
            <w:vAlign w:val="center"/>
            <w:hideMark/>
          </w:tcPr>
          <w:p w:rsidR="00FB6255" w:rsidRDefault="00FB6255">
            <w:pPr>
              <w:rPr>
                <w:rFonts w:ascii="Arial" w:hAnsi="Arial" w:cs="Arial"/>
                <w:color w:val="000000"/>
                <w:sz w:val="16"/>
                <w:szCs w:val="16"/>
              </w:rPr>
            </w:pPr>
            <w:r>
              <w:rPr>
                <w:rFonts w:ascii="Arial" w:hAnsi="Arial" w:cs="Arial"/>
                <w:color w:val="000000"/>
                <w:sz w:val="16"/>
                <w:szCs w:val="16"/>
              </w:rPr>
              <w:t>RAZLIKA</w:t>
            </w:r>
          </w:p>
        </w:tc>
        <w:tc>
          <w:tcPr>
            <w:tcW w:w="861" w:type="pct"/>
            <w:tcBorders>
              <w:top w:val="single" w:sz="4" w:space="0" w:color="auto"/>
              <w:left w:val="nil"/>
              <w:bottom w:val="single" w:sz="4" w:space="0" w:color="auto"/>
              <w:right w:val="single" w:sz="4" w:space="0" w:color="auto"/>
            </w:tcBorders>
            <w:shd w:val="clear" w:color="000000" w:fill="ECE9D8"/>
            <w:vAlign w:val="center"/>
            <w:hideMark/>
          </w:tcPr>
          <w:p w:rsidR="00FB6255" w:rsidRDefault="00FB6255">
            <w:pPr>
              <w:jc w:val="center"/>
              <w:rPr>
                <w:rFonts w:ascii="Arial" w:hAnsi="Arial" w:cs="Arial"/>
                <w:color w:val="000000"/>
                <w:sz w:val="16"/>
                <w:szCs w:val="16"/>
              </w:rPr>
            </w:pPr>
            <w:r>
              <w:rPr>
                <w:rFonts w:ascii="Arial" w:hAnsi="Arial" w:cs="Arial"/>
                <w:color w:val="000000"/>
                <w:sz w:val="16"/>
                <w:szCs w:val="16"/>
              </w:rPr>
              <w:t>NOVI PLAN</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FB6255" w:rsidRDefault="00FB6255">
            <w:pPr>
              <w:rPr>
                <w:rFonts w:ascii="Arial" w:hAnsi="Arial" w:cs="Arial"/>
                <w:color w:val="FFFFFF"/>
                <w:sz w:val="16"/>
                <w:szCs w:val="16"/>
              </w:rPr>
            </w:pPr>
            <w:r>
              <w:rPr>
                <w:rFonts w:ascii="Arial" w:hAnsi="Arial" w:cs="Arial"/>
                <w:color w:val="FFFFFF"/>
                <w:sz w:val="16"/>
                <w:szCs w:val="16"/>
              </w:rPr>
              <w:t>6</w:t>
            </w:r>
          </w:p>
        </w:tc>
        <w:tc>
          <w:tcPr>
            <w:tcW w:w="1871" w:type="pct"/>
            <w:tcBorders>
              <w:top w:val="nil"/>
              <w:left w:val="nil"/>
              <w:bottom w:val="single" w:sz="4" w:space="0" w:color="auto"/>
              <w:right w:val="single" w:sz="4" w:space="0" w:color="auto"/>
            </w:tcBorders>
            <w:shd w:val="clear" w:color="000000" w:fill="0000FF"/>
            <w:vAlign w:val="center"/>
            <w:hideMark/>
          </w:tcPr>
          <w:p w:rsidR="00FB6255" w:rsidRDefault="00FB6255">
            <w:pPr>
              <w:rPr>
                <w:rFonts w:ascii="Arial" w:hAnsi="Arial" w:cs="Arial"/>
                <w:color w:val="FFFFFF"/>
                <w:sz w:val="16"/>
                <w:szCs w:val="16"/>
              </w:rPr>
            </w:pPr>
            <w:r>
              <w:rPr>
                <w:rFonts w:ascii="Arial" w:hAnsi="Arial" w:cs="Arial"/>
                <w:color w:val="FFFFFF"/>
                <w:sz w:val="16"/>
                <w:szCs w:val="16"/>
              </w:rPr>
              <w:t>PRIHODI POSLOVANJA</w:t>
            </w:r>
          </w:p>
        </w:tc>
        <w:tc>
          <w:tcPr>
            <w:tcW w:w="1002"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1.219.812.510,27</w:t>
            </w:r>
          </w:p>
        </w:tc>
        <w:tc>
          <w:tcPr>
            <w:tcW w:w="805"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38.116.842,06</w:t>
            </w:r>
          </w:p>
        </w:tc>
        <w:tc>
          <w:tcPr>
            <w:tcW w:w="861"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1.257.929.352,33</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63</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POMOĆI IZ INOZEM. I OD SUBJEKATA UNUTAR OPĆEG PRORAČUNA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464.977.324,77</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45.868.694,31</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510.846.019,08</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634</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POMOĆI OD IZVANPRORAČUNSKIH KORISNIKA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6.919.551,84</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778.339,72</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7.697.891,56</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636</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POMOĆI PROR.KORISN.IZ PRORAČUNA KOJI IM NIJE NADLEŽAN</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421.390.740,36</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52.995.158,53</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474.385.898,89</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638</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POMOĆI IZ DRŽ.PRORAČUNA TEMELJEM PRIJENOSA EU SREDSTAVA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36.596.232,57</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- 7.840.866,08</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28.755.366,49</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639</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PRIJENOSI IZMEĐU PRORAČUNSKIH KORISNIKA ISTOG PRORAČUNA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70.800,00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- 63.937,86</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6.862,14</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64</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PRIHODI OD IMOVINE</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167.647,00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- 6.647,00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161.000,00</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641</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OD FINANCIJSKE IMOVINE</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167.647,00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- 6.647,00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161.000,00</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65</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PRIH.OD UPRAVN.I ADMIN.PRISTOJBI I PR.PO POSEB.PROPIS.I NAKN</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79.257.827,68</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4.086.983,34</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83.344.811,02</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652</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PO POSEBNIM PROPISIMA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79.257.827,68</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4.086.983,34</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83.344.811,02</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66</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PRIHODI OD PRODAJE PROIZV.I ROBE TE PRUŽ.USL.I PRIH.OD DONAC</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105.122.266,89</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- 17.073.045,92</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88.049.220,97</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661</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OD PRODAJE PROIZVODA I ROBE TE PRUŽENIH USLUGA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101.973.048,32</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- 17.942.317,50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84.030.730,82</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663</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DONACIJE OD PRAVNIH I FIZIČKIH OSOBA IZVAN OPĆEG PRORAČUNA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3.149.218,57</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869.271,58</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4.018.490,15</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67</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PRIHODI IZ NADLEŽ.PRORAČUNA I OD HZZO-a TEMELJ.UGOVOR.OBVEZA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563.427.443,93</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- 4.694.977,67</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558.732.466,26</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673</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OD HZZO-A NA TEMELJU UGOVORNIH OBVEZA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563.427.443,93</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- 4.694.977,67</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558.732.466,26</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68</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KAZNE, UPRAVNE MJERE I OSTALI PRIHODI</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6.860.000,00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9.935.835,00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16.795.835,00</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683</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OSTALI PRIHODI</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6.860.000,00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9.935.835,00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16.795.835,00</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FB6255" w:rsidRDefault="00FB6255">
            <w:pPr>
              <w:rPr>
                <w:rFonts w:ascii="Arial" w:hAnsi="Arial" w:cs="Arial"/>
                <w:color w:val="FFFFFF"/>
                <w:sz w:val="16"/>
                <w:szCs w:val="16"/>
              </w:rPr>
            </w:pPr>
            <w:r>
              <w:rPr>
                <w:rFonts w:ascii="Arial" w:hAnsi="Arial" w:cs="Arial"/>
                <w:color w:val="FFFFFF"/>
                <w:sz w:val="16"/>
                <w:szCs w:val="16"/>
              </w:rPr>
              <w:t>7</w:t>
            </w:r>
          </w:p>
        </w:tc>
        <w:tc>
          <w:tcPr>
            <w:tcW w:w="1871" w:type="pct"/>
            <w:tcBorders>
              <w:top w:val="nil"/>
              <w:left w:val="nil"/>
              <w:bottom w:val="single" w:sz="4" w:space="0" w:color="auto"/>
              <w:right w:val="single" w:sz="4" w:space="0" w:color="auto"/>
            </w:tcBorders>
            <w:shd w:val="clear" w:color="000000" w:fill="0000FF"/>
            <w:vAlign w:val="center"/>
            <w:hideMark/>
          </w:tcPr>
          <w:p w:rsidR="00FB6255" w:rsidRDefault="00FB6255">
            <w:pPr>
              <w:rPr>
                <w:rFonts w:ascii="Arial" w:hAnsi="Arial" w:cs="Arial"/>
                <w:color w:val="FFFFFF"/>
                <w:sz w:val="16"/>
                <w:szCs w:val="16"/>
              </w:rPr>
            </w:pPr>
            <w:r>
              <w:rPr>
                <w:rFonts w:ascii="Arial" w:hAnsi="Arial" w:cs="Arial"/>
                <w:color w:val="FFFFFF"/>
                <w:sz w:val="16"/>
                <w:szCs w:val="16"/>
              </w:rPr>
              <w:t>PRIHODI OD PRODAJE NEFINANCIJSKE IMOVINE</w:t>
            </w:r>
          </w:p>
        </w:tc>
        <w:tc>
          <w:tcPr>
            <w:tcW w:w="1002"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277.163,10</w:t>
            </w:r>
          </w:p>
        </w:tc>
        <w:tc>
          <w:tcPr>
            <w:tcW w:w="805"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- 12.487,35</w:t>
            </w:r>
          </w:p>
        </w:tc>
        <w:tc>
          <w:tcPr>
            <w:tcW w:w="861" w:type="pct"/>
            <w:tcBorders>
              <w:top w:val="nil"/>
              <w:left w:val="nil"/>
              <w:bottom w:val="single" w:sz="4" w:space="0" w:color="auto"/>
              <w:right w:val="single" w:sz="4" w:space="0" w:color="auto"/>
            </w:tcBorders>
            <w:shd w:val="clear" w:color="000000" w:fill="0000FF"/>
            <w:vAlign w:val="center"/>
            <w:hideMark/>
          </w:tcPr>
          <w:p w:rsidR="00FB6255" w:rsidRDefault="00FB6255">
            <w:pPr>
              <w:jc w:val="right"/>
              <w:rPr>
                <w:rFonts w:ascii="Arial" w:hAnsi="Arial" w:cs="Arial"/>
                <w:color w:val="FFFFFF"/>
                <w:sz w:val="16"/>
                <w:szCs w:val="16"/>
              </w:rPr>
            </w:pPr>
            <w:r>
              <w:rPr>
                <w:rFonts w:ascii="Arial" w:hAnsi="Arial" w:cs="Arial"/>
                <w:color w:val="FFFFFF"/>
                <w:sz w:val="16"/>
                <w:szCs w:val="16"/>
              </w:rPr>
              <w:t>264.675,75</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72</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PRIHODI OD PRODAJE PROIZVEDENE DUGOTRAJNE IMOVINE</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277.163,10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- 12.487,35</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264.675,75</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721</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OD PRODAJE GRAĐEVINSKIH OBJEKATA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187.143,10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- 22.467,35</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164.675,75</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723</w:t>
            </w:r>
          </w:p>
        </w:tc>
        <w:tc>
          <w:tcPr>
            <w:tcW w:w="1871" w:type="pct"/>
            <w:tcBorders>
              <w:top w:val="nil"/>
              <w:left w:val="nil"/>
              <w:bottom w:val="single" w:sz="4" w:space="0" w:color="auto"/>
              <w:right w:val="single" w:sz="4" w:space="0" w:color="auto"/>
            </w:tcBorders>
            <w:shd w:val="clear" w:color="000000" w:fill="FFFFFF"/>
            <w:vAlign w:val="center"/>
            <w:hideMark/>
          </w:tcPr>
          <w:p w:rsidR="00FB6255" w:rsidRDefault="00FB6255">
            <w:pPr>
              <w:rPr>
                <w:rFonts w:ascii="Arial" w:hAnsi="Arial" w:cs="Arial"/>
                <w:color w:val="000000"/>
                <w:sz w:val="16"/>
                <w:szCs w:val="16"/>
              </w:rPr>
            </w:pPr>
            <w:r>
              <w:rPr>
                <w:rFonts w:ascii="Arial" w:hAnsi="Arial" w:cs="Arial"/>
                <w:color w:val="000000"/>
                <w:sz w:val="16"/>
                <w:szCs w:val="16"/>
              </w:rPr>
              <w:t>PRIHODI OD PRODAJE PRIJEVOZNIH SREDSTAVA</w:t>
            </w:r>
          </w:p>
        </w:tc>
        <w:tc>
          <w:tcPr>
            <w:tcW w:w="1002"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90.020,00</w:t>
            </w:r>
          </w:p>
        </w:tc>
        <w:tc>
          <w:tcPr>
            <w:tcW w:w="805"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9.980,00</w:t>
            </w:r>
          </w:p>
        </w:tc>
        <w:tc>
          <w:tcPr>
            <w:tcW w:w="861" w:type="pct"/>
            <w:tcBorders>
              <w:top w:val="nil"/>
              <w:left w:val="nil"/>
              <w:bottom w:val="single" w:sz="4" w:space="0" w:color="auto"/>
              <w:right w:val="single" w:sz="4" w:space="0" w:color="auto"/>
            </w:tcBorders>
            <w:shd w:val="clear" w:color="000000" w:fill="FFFFFF"/>
            <w:vAlign w:val="center"/>
            <w:hideMark/>
          </w:tcPr>
          <w:p w:rsidR="00FB6255" w:rsidRDefault="00FB6255">
            <w:pPr>
              <w:jc w:val="right"/>
              <w:rPr>
                <w:rFonts w:ascii="Arial" w:hAnsi="Arial" w:cs="Arial"/>
                <w:color w:val="000000"/>
                <w:sz w:val="16"/>
                <w:szCs w:val="16"/>
              </w:rPr>
            </w:pPr>
            <w:r>
              <w:rPr>
                <w:rFonts w:ascii="Arial" w:hAnsi="Arial" w:cs="Arial"/>
                <w:color w:val="000000"/>
                <w:sz w:val="16"/>
                <w:szCs w:val="16"/>
              </w:rPr>
              <w:t>100.000,00</w:t>
            </w:r>
          </w:p>
        </w:tc>
      </w:tr>
      <w:tr w:rsidR="00FB6255" w:rsidTr="00091EF1">
        <w:trPr>
          <w:trHeight w:val="255"/>
        </w:trPr>
        <w:tc>
          <w:tcPr>
            <w:tcW w:w="462" w:type="pct"/>
            <w:tcBorders>
              <w:top w:val="nil"/>
              <w:left w:val="single" w:sz="4" w:space="0" w:color="auto"/>
              <w:bottom w:val="single" w:sz="4" w:space="0" w:color="auto"/>
              <w:right w:val="single" w:sz="4" w:space="0" w:color="auto"/>
            </w:tcBorders>
            <w:shd w:val="clear" w:color="000000" w:fill="FFFF00"/>
            <w:noWrap/>
            <w:vAlign w:val="bottom"/>
            <w:hideMark/>
          </w:tcPr>
          <w:p w:rsidR="00FB6255" w:rsidRDefault="00FB6255">
            <w:pPr>
              <w:rPr>
                <w:rFonts w:ascii="Arial" w:hAnsi="Arial" w:cs="Arial"/>
                <w:sz w:val="20"/>
                <w:szCs w:val="20"/>
              </w:rPr>
            </w:pPr>
            <w:r>
              <w:rPr>
                <w:rFonts w:ascii="Arial" w:hAnsi="Arial" w:cs="Arial"/>
                <w:sz w:val="20"/>
                <w:szCs w:val="20"/>
              </w:rPr>
              <w:t> </w:t>
            </w:r>
          </w:p>
        </w:tc>
        <w:tc>
          <w:tcPr>
            <w:tcW w:w="1871" w:type="pct"/>
            <w:tcBorders>
              <w:top w:val="nil"/>
              <w:left w:val="nil"/>
              <w:bottom w:val="single" w:sz="4" w:space="0" w:color="auto"/>
              <w:right w:val="single" w:sz="4" w:space="0" w:color="auto"/>
            </w:tcBorders>
            <w:shd w:val="clear" w:color="000000" w:fill="FFFF00"/>
            <w:vAlign w:val="center"/>
            <w:hideMark/>
          </w:tcPr>
          <w:p w:rsidR="00FB6255" w:rsidRDefault="00FB6255">
            <w:pPr>
              <w:rPr>
                <w:rFonts w:ascii="Arial" w:hAnsi="Arial" w:cs="Arial"/>
                <w:b/>
                <w:bCs/>
                <w:color w:val="000000"/>
                <w:sz w:val="16"/>
                <w:szCs w:val="16"/>
              </w:rPr>
            </w:pPr>
            <w:r>
              <w:rPr>
                <w:rFonts w:ascii="Arial" w:hAnsi="Arial" w:cs="Arial"/>
                <w:b/>
                <w:bCs/>
                <w:color w:val="000000"/>
                <w:sz w:val="16"/>
                <w:szCs w:val="16"/>
              </w:rPr>
              <w:t>SVEUKUPNO</w:t>
            </w:r>
          </w:p>
        </w:tc>
        <w:tc>
          <w:tcPr>
            <w:tcW w:w="1002" w:type="pct"/>
            <w:tcBorders>
              <w:top w:val="nil"/>
              <w:left w:val="nil"/>
              <w:bottom w:val="single" w:sz="4" w:space="0" w:color="auto"/>
              <w:right w:val="single" w:sz="4" w:space="0" w:color="auto"/>
            </w:tcBorders>
            <w:shd w:val="clear" w:color="000000" w:fill="FFFF00"/>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1.220.089.673,37</w:t>
            </w:r>
          </w:p>
        </w:tc>
        <w:tc>
          <w:tcPr>
            <w:tcW w:w="805" w:type="pct"/>
            <w:tcBorders>
              <w:top w:val="nil"/>
              <w:left w:val="nil"/>
              <w:bottom w:val="single" w:sz="4" w:space="0" w:color="auto"/>
              <w:right w:val="single" w:sz="4" w:space="0" w:color="auto"/>
            </w:tcBorders>
            <w:shd w:val="clear" w:color="000000" w:fill="FFFF00"/>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38.104.354,71</w:t>
            </w:r>
          </w:p>
        </w:tc>
        <w:tc>
          <w:tcPr>
            <w:tcW w:w="861" w:type="pct"/>
            <w:tcBorders>
              <w:top w:val="nil"/>
              <w:left w:val="nil"/>
              <w:bottom w:val="single" w:sz="4" w:space="0" w:color="auto"/>
              <w:right w:val="single" w:sz="4" w:space="0" w:color="auto"/>
            </w:tcBorders>
            <w:shd w:val="clear" w:color="000000" w:fill="FFFF00"/>
            <w:vAlign w:val="center"/>
            <w:hideMark/>
          </w:tcPr>
          <w:p w:rsidR="00FB6255" w:rsidRDefault="00FB6255">
            <w:pPr>
              <w:jc w:val="right"/>
              <w:rPr>
                <w:rFonts w:ascii="Arial" w:hAnsi="Arial" w:cs="Arial"/>
                <w:b/>
                <w:bCs/>
                <w:color w:val="000000"/>
                <w:sz w:val="16"/>
                <w:szCs w:val="16"/>
              </w:rPr>
            </w:pPr>
            <w:r>
              <w:rPr>
                <w:rFonts w:ascii="Arial" w:hAnsi="Arial" w:cs="Arial"/>
                <w:b/>
                <w:bCs/>
                <w:color w:val="000000"/>
                <w:sz w:val="16"/>
                <w:szCs w:val="16"/>
              </w:rPr>
              <w:t>1.258.194.028,08</w:t>
            </w:r>
          </w:p>
        </w:tc>
      </w:tr>
    </w:tbl>
    <w:p w:rsidR="00EA1FF9" w:rsidRDefault="00EA1FF9" w:rsidP="00CC5183">
      <w:pPr>
        <w:jc w:val="both"/>
        <w:rPr>
          <w:rFonts w:ascii="Arial" w:hAnsi="Arial" w:cs="Arial"/>
          <w:sz w:val="22"/>
          <w:szCs w:val="22"/>
        </w:rPr>
      </w:pPr>
      <w:r>
        <w:rPr>
          <w:rFonts w:ascii="Arial" w:hAnsi="Arial" w:cs="Arial"/>
          <w:sz w:val="22"/>
          <w:szCs w:val="22"/>
        </w:rPr>
        <w:lastRenderedPageBreak/>
        <w:t xml:space="preserve">Proračunski korisnici usklađuju vlastite i namjenske prihode prema stvarnim mogućnostima naplate, te prihode za financiranje redovne djelatnosti od Državnog proračuna za povećanja plaća kod škola i od HZZO za zdravstvene ustanove. </w:t>
      </w:r>
    </w:p>
    <w:p w:rsidR="00EA1FF9" w:rsidRDefault="00EA1FF9" w:rsidP="00CC5183">
      <w:pPr>
        <w:jc w:val="both"/>
        <w:rPr>
          <w:rFonts w:ascii="Arial" w:hAnsi="Arial" w:cs="Arial"/>
          <w:sz w:val="22"/>
          <w:szCs w:val="22"/>
        </w:rPr>
      </w:pPr>
    </w:p>
    <w:p w:rsidR="00F5612B" w:rsidRPr="005D6BD3" w:rsidRDefault="00F5612B" w:rsidP="00F5612B">
      <w:pPr>
        <w:jc w:val="center"/>
        <w:rPr>
          <w:rFonts w:ascii="Arial" w:hAnsi="Arial" w:cs="Arial"/>
          <w:b/>
          <w:sz w:val="22"/>
          <w:szCs w:val="22"/>
        </w:rPr>
      </w:pPr>
      <w:r w:rsidRPr="005D6BD3">
        <w:rPr>
          <w:rFonts w:ascii="Arial" w:hAnsi="Arial" w:cs="Arial"/>
          <w:b/>
          <w:sz w:val="22"/>
          <w:szCs w:val="22"/>
        </w:rPr>
        <w:t>OBRAZLOŽENJA</w:t>
      </w:r>
    </w:p>
    <w:p w:rsidR="00F5612B" w:rsidRDefault="00F5612B" w:rsidP="00CC5183">
      <w:pPr>
        <w:jc w:val="both"/>
        <w:rPr>
          <w:rFonts w:ascii="Arial" w:hAnsi="Arial" w:cs="Arial"/>
          <w:sz w:val="22"/>
          <w:szCs w:val="22"/>
        </w:rPr>
      </w:pPr>
    </w:p>
    <w:p w:rsidR="008252CF" w:rsidRDefault="008252CF" w:rsidP="00CC5183">
      <w:pPr>
        <w:jc w:val="both"/>
        <w:rPr>
          <w:rFonts w:ascii="Arial" w:hAnsi="Arial" w:cs="Arial"/>
          <w:sz w:val="22"/>
          <w:szCs w:val="22"/>
        </w:rPr>
      </w:pPr>
      <w:r>
        <w:rPr>
          <w:rFonts w:ascii="Arial" w:hAnsi="Arial" w:cs="Arial"/>
          <w:sz w:val="22"/>
          <w:szCs w:val="22"/>
        </w:rPr>
        <w:t>U nastavku se daju obrazloženja po pojedinim projektima</w:t>
      </w:r>
      <w:r w:rsidR="00F5612B">
        <w:rPr>
          <w:rFonts w:ascii="Arial" w:hAnsi="Arial" w:cs="Arial"/>
          <w:sz w:val="22"/>
          <w:szCs w:val="22"/>
        </w:rPr>
        <w:t xml:space="preserve">, aktivnostima, programima </w:t>
      </w:r>
      <w:r>
        <w:rPr>
          <w:rFonts w:ascii="Arial" w:hAnsi="Arial" w:cs="Arial"/>
          <w:sz w:val="22"/>
          <w:szCs w:val="22"/>
        </w:rPr>
        <w:t xml:space="preserve">za koja se dodatno osiguravaju sredstva ovim izmjenama i dopunama proračuna. </w:t>
      </w:r>
    </w:p>
    <w:p w:rsidR="008252CF" w:rsidRDefault="008252CF" w:rsidP="00CC518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Stjecanje nekretnine samostojeće zgrade „Speleo kuća ZEC“</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Istarska županija je nizom EU sufinanciranih projekata, počevši od 2011. godine pa nadalje,  izvršila značajna ulaganja u prvotno derutnu i ruševnu zgradu stare škole u mjestu Vodice u općini Lanišće. Do današnjeg dana Istarska županija kontinuirano je na području Ćićarije djelovala osmišljavanjem i provedbom ukupno tri EU projekta u domeni zaštite prirode i okoliša kojima je uvijek dodatno ulagala u predmetnu nekretninu s namjerom da istu pretvori u Znanstveno edukacijski centar „Speleo  kuća” namijenjen promociji prirodnih i kulturnih vrijednosti tog područja Istarske županije, što ona trenutno i jest.</w:t>
      </w:r>
    </w:p>
    <w:p w:rsidR="005D6BD3" w:rsidRPr="005D6BD3" w:rsidRDefault="005D6BD3" w:rsidP="005D6BD3">
      <w:pPr>
        <w:ind w:firstLine="357"/>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Istarska županija korisnik je prava plodouživanja na objektu u vlasništvu 1/1 Općine Lanišće, kojim je osigurano korištenje objektom u svrhu zaštite i promocije prirodnih vrijednosti Ćićarije kroz aktivnosti Znanstveno edukativnog centra u narednom razdoblju od 21 godinu i 3 mjeseca, počevši od 13. travnja 2021. godine.</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Stjecanjem nekretnine Istarska županija stječe potrebne prednosti za daljnje razvojne planove sa objektom, a to su:</w:t>
      </w:r>
    </w:p>
    <w:p w:rsidR="005D6BD3" w:rsidRPr="005D6BD3" w:rsidRDefault="005D6BD3" w:rsidP="005D6BD3">
      <w:pPr>
        <w:numPr>
          <w:ilvl w:val="0"/>
          <w:numId w:val="23"/>
        </w:numPr>
        <w:tabs>
          <w:tab w:val="left" w:pos="284"/>
        </w:tabs>
        <w:ind w:left="0" w:firstLine="0"/>
        <w:contextualSpacing/>
        <w:jc w:val="both"/>
        <w:rPr>
          <w:rFonts w:ascii="Arial" w:hAnsi="Arial" w:cs="Arial"/>
          <w:sz w:val="22"/>
          <w:szCs w:val="22"/>
          <w:lang w:eastAsia="en-US"/>
        </w:rPr>
      </w:pPr>
      <w:r w:rsidRPr="005D6BD3">
        <w:rPr>
          <w:rFonts w:ascii="Arial" w:hAnsi="Arial" w:cs="Arial"/>
          <w:sz w:val="22"/>
          <w:szCs w:val="22"/>
          <w:lang w:eastAsia="en-US"/>
        </w:rPr>
        <w:t>izrada Idejnog arhitektonskog projekta planiranog građevinskog uređenja preostalog, trenutno neuređenog dijela objekta.</w:t>
      </w:r>
    </w:p>
    <w:p w:rsidR="005D6BD3" w:rsidRPr="005D6BD3" w:rsidRDefault="005D6BD3" w:rsidP="005D6BD3">
      <w:pPr>
        <w:numPr>
          <w:ilvl w:val="0"/>
          <w:numId w:val="23"/>
        </w:numPr>
        <w:tabs>
          <w:tab w:val="left" w:pos="284"/>
        </w:tabs>
        <w:ind w:left="0" w:firstLine="0"/>
        <w:contextualSpacing/>
        <w:jc w:val="both"/>
        <w:rPr>
          <w:rFonts w:ascii="Arial" w:hAnsi="Arial" w:cs="Arial"/>
          <w:sz w:val="22"/>
          <w:szCs w:val="22"/>
          <w:lang w:eastAsia="en-US"/>
        </w:rPr>
      </w:pPr>
      <w:r w:rsidRPr="005D6BD3">
        <w:rPr>
          <w:rFonts w:ascii="Arial" w:hAnsi="Arial" w:cs="Arial"/>
          <w:sz w:val="22"/>
          <w:szCs w:val="22"/>
          <w:lang w:eastAsia="en-US"/>
        </w:rPr>
        <w:t xml:space="preserve">provođenje znanstvenih i edukativnih programa, te korištenje objekta za aktivnosti i usluge u skladu sa utvrđenom namjenom objekta – zaštitom i promocijom prirodnih vrijednosti Ćićarije </w:t>
      </w:r>
    </w:p>
    <w:p w:rsidR="005D6BD3" w:rsidRPr="005D6BD3" w:rsidRDefault="005D6BD3" w:rsidP="005D6BD3">
      <w:pPr>
        <w:numPr>
          <w:ilvl w:val="0"/>
          <w:numId w:val="23"/>
        </w:numPr>
        <w:tabs>
          <w:tab w:val="left" w:pos="284"/>
        </w:tabs>
        <w:ind w:left="0" w:firstLine="0"/>
        <w:contextualSpacing/>
        <w:jc w:val="both"/>
        <w:rPr>
          <w:rFonts w:ascii="Arial" w:hAnsi="Arial" w:cs="Arial"/>
          <w:sz w:val="22"/>
          <w:szCs w:val="22"/>
          <w:lang w:eastAsia="en-US"/>
        </w:rPr>
      </w:pPr>
      <w:r w:rsidRPr="005D6BD3">
        <w:rPr>
          <w:rFonts w:ascii="Arial" w:hAnsi="Arial" w:cs="Arial"/>
          <w:sz w:val="22"/>
          <w:szCs w:val="22"/>
          <w:lang w:eastAsia="en-US"/>
        </w:rPr>
        <w:t>pomoć u gospodarskom razvoju jednog od najslabije razvijenih područja Istarske županije sa velikim potencijalom u njegovim prirodnim vrijednostima i krajobraznim ljepotama</w:t>
      </w:r>
    </w:p>
    <w:p w:rsidR="005D6BD3" w:rsidRPr="005D6BD3" w:rsidRDefault="005D6BD3" w:rsidP="005D6BD3">
      <w:pPr>
        <w:tabs>
          <w:tab w:val="left" w:pos="284"/>
        </w:tabs>
        <w:jc w:val="both"/>
        <w:rPr>
          <w:rFonts w:ascii="Arial" w:hAnsi="Arial" w:cs="Arial"/>
          <w:sz w:val="22"/>
          <w:szCs w:val="22"/>
        </w:rPr>
      </w:pPr>
    </w:p>
    <w:p w:rsidR="005D6BD3" w:rsidRPr="005D6BD3" w:rsidRDefault="005D6BD3" w:rsidP="005D6BD3">
      <w:pPr>
        <w:tabs>
          <w:tab w:val="left" w:pos="284"/>
        </w:tabs>
        <w:jc w:val="both"/>
        <w:rPr>
          <w:rFonts w:ascii="Arial" w:hAnsi="Arial" w:cs="Arial"/>
          <w:b/>
          <w:sz w:val="22"/>
          <w:szCs w:val="22"/>
          <w:u w:val="single"/>
        </w:rPr>
      </w:pPr>
      <w:r w:rsidRPr="005D6BD3">
        <w:rPr>
          <w:rFonts w:ascii="Arial" w:hAnsi="Arial" w:cs="Arial"/>
          <w:b/>
          <w:sz w:val="22"/>
          <w:szCs w:val="22"/>
          <w:u w:val="single"/>
        </w:rPr>
        <w:t>Saniranje posljedica uvođenja redukcije korištenja pitke vode</w:t>
      </w:r>
    </w:p>
    <w:p w:rsidR="005D6BD3" w:rsidRPr="005D6BD3" w:rsidRDefault="005D6BD3" w:rsidP="005D6BD3">
      <w:pPr>
        <w:tabs>
          <w:tab w:val="left" w:pos="284"/>
        </w:tabs>
        <w:jc w:val="both"/>
        <w:rPr>
          <w:rFonts w:ascii="Arial" w:hAnsi="Arial" w:cs="Arial"/>
          <w:b/>
          <w:sz w:val="22"/>
          <w:szCs w:val="22"/>
        </w:rPr>
      </w:pPr>
    </w:p>
    <w:p w:rsidR="005D6BD3" w:rsidRPr="005D6BD3" w:rsidRDefault="005D6BD3" w:rsidP="005D6BD3">
      <w:pPr>
        <w:tabs>
          <w:tab w:val="left" w:pos="284"/>
        </w:tabs>
        <w:jc w:val="both"/>
        <w:rPr>
          <w:rFonts w:ascii="Arial" w:hAnsi="Arial" w:cs="Arial"/>
          <w:sz w:val="22"/>
          <w:szCs w:val="22"/>
        </w:rPr>
      </w:pPr>
      <w:r w:rsidRPr="005D6BD3">
        <w:rPr>
          <w:rFonts w:ascii="Arial" w:hAnsi="Arial" w:cs="Arial"/>
          <w:sz w:val="22"/>
          <w:szCs w:val="22"/>
        </w:rPr>
        <w:t>Radi izrazito nepovoljnih hidroloških prilika i nedovoljne izdašnosti izvorišta voda koja su u sustavu vodoopskrbe, te sa ciljem održivosti i stabilnosti vodoopskrbnog sustava</w:t>
      </w:r>
      <w:r w:rsidR="002243F5">
        <w:rPr>
          <w:rFonts w:ascii="Arial" w:hAnsi="Arial" w:cs="Arial"/>
          <w:sz w:val="22"/>
          <w:szCs w:val="22"/>
        </w:rPr>
        <w:t xml:space="preserve"> </w:t>
      </w:r>
      <w:r w:rsidRPr="005D6BD3">
        <w:rPr>
          <w:rFonts w:ascii="Arial" w:hAnsi="Arial" w:cs="Arial"/>
          <w:sz w:val="22"/>
          <w:szCs w:val="22"/>
        </w:rPr>
        <w:t>Zaključkom Župana Istarske županije od 15. srpnja 2022. godine (Klasa: 325-07/22-01/01. Urbr. 2163-01/3-22-02) uvedena je mjera redukcije korištenja pitke vode I. stupnja za vodoopskrbno područje Istarske županije koja je stupila na snagu 18. srpnja 2022. godine.</w:t>
      </w:r>
    </w:p>
    <w:p w:rsidR="005D6BD3" w:rsidRPr="005D6BD3" w:rsidRDefault="005D6BD3" w:rsidP="005D6BD3">
      <w:pPr>
        <w:tabs>
          <w:tab w:val="left" w:pos="284"/>
        </w:tabs>
        <w:jc w:val="both"/>
        <w:rPr>
          <w:rFonts w:ascii="Arial" w:hAnsi="Arial" w:cs="Arial"/>
          <w:sz w:val="22"/>
          <w:szCs w:val="22"/>
        </w:rPr>
      </w:pPr>
      <w:r w:rsidRPr="005D6BD3">
        <w:rPr>
          <w:rFonts w:ascii="Arial" w:hAnsi="Arial" w:cs="Arial"/>
          <w:sz w:val="22"/>
          <w:szCs w:val="22"/>
        </w:rPr>
        <w:t>Ista je opozvana Zaključkom o opozivu mjere redukcije korištenja pitke vode I. stupnja za vodoopskrbno područje Istarske županije 29. kolovoza 2022. godine (Klasa: 325-07/22-01/01. Urbr. 2163-01/11-22-08).</w:t>
      </w:r>
    </w:p>
    <w:p w:rsidR="005D6BD3" w:rsidRPr="005D6BD3" w:rsidRDefault="005D6BD3" w:rsidP="005D6BD3">
      <w:pPr>
        <w:tabs>
          <w:tab w:val="left" w:pos="284"/>
        </w:tabs>
        <w:jc w:val="both"/>
        <w:rPr>
          <w:rFonts w:ascii="Arial" w:hAnsi="Arial" w:cs="Arial"/>
          <w:sz w:val="22"/>
          <w:szCs w:val="22"/>
        </w:rPr>
      </w:pPr>
      <w:r w:rsidRPr="005D6BD3">
        <w:rPr>
          <w:rFonts w:ascii="Arial" w:hAnsi="Arial" w:cs="Arial"/>
          <w:sz w:val="22"/>
          <w:szCs w:val="22"/>
        </w:rPr>
        <w:t xml:space="preserve">Slijedom navedenog je mikro subjektima malog gospodarstva (autopraonice), za saniranje posljedica uvođenja redukcije  korištenja pitke vode nastalih od 18. srpnja do 29. kolovoza 2022. godine, u proračunu Istarske županije potrebno osigurati financijska sredstva. </w:t>
      </w:r>
    </w:p>
    <w:p w:rsidR="005D6BD3" w:rsidRDefault="005D6BD3" w:rsidP="005D6BD3">
      <w:pPr>
        <w:tabs>
          <w:tab w:val="left" w:pos="284"/>
        </w:tabs>
        <w:jc w:val="both"/>
        <w:rPr>
          <w:rFonts w:ascii="Arial" w:hAnsi="Arial" w:cs="Arial"/>
          <w:sz w:val="22"/>
          <w:szCs w:val="22"/>
        </w:rPr>
      </w:pPr>
    </w:p>
    <w:p w:rsidR="0020215D" w:rsidRDefault="0020215D" w:rsidP="005D6BD3">
      <w:pPr>
        <w:tabs>
          <w:tab w:val="left" w:pos="284"/>
        </w:tabs>
        <w:jc w:val="both"/>
        <w:rPr>
          <w:rFonts w:ascii="Arial" w:hAnsi="Arial" w:cs="Arial"/>
          <w:sz w:val="22"/>
          <w:szCs w:val="22"/>
        </w:rPr>
      </w:pPr>
    </w:p>
    <w:p w:rsidR="0020215D" w:rsidRDefault="0020215D" w:rsidP="005D6BD3">
      <w:pPr>
        <w:tabs>
          <w:tab w:val="left" w:pos="284"/>
        </w:tabs>
        <w:jc w:val="both"/>
        <w:rPr>
          <w:rFonts w:ascii="Arial" w:hAnsi="Arial" w:cs="Arial"/>
          <w:sz w:val="22"/>
          <w:szCs w:val="22"/>
        </w:rPr>
      </w:pPr>
    </w:p>
    <w:p w:rsidR="0020215D" w:rsidRPr="005D6BD3" w:rsidRDefault="0020215D" w:rsidP="005D6BD3">
      <w:pPr>
        <w:tabs>
          <w:tab w:val="left" w:pos="284"/>
        </w:tabs>
        <w:jc w:val="both"/>
        <w:rPr>
          <w:rFonts w:ascii="Arial" w:hAnsi="Arial" w:cs="Arial"/>
          <w:sz w:val="22"/>
          <w:szCs w:val="22"/>
        </w:rPr>
      </w:pPr>
    </w:p>
    <w:p w:rsidR="005D6BD3" w:rsidRPr="005D6BD3" w:rsidRDefault="005D6BD3" w:rsidP="005D6BD3">
      <w:pPr>
        <w:spacing w:line="259" w:lineRule="auto"/>
        <w:jc w:val="both"/>
        <w:rPr>
          <w:rFonts w:ascii="Arial" w:hAnsi="Arial" w:cs="Arial"/>
          <w:b/>
          <w:bCs/>
          <w:sz w:val="22"/>
          <w:szCs w:val="22"/>
          <w:u w:val="single"/>
        </w:rPr>
      </w:pPr>
      <w:r w:rsidRPr="005D6BD3">
        <w:rPr>
          <w:rFonts w:ascii="Arial" w:hAnsi="Arial" w:cs="Arial"/>
          <w:b/>
          <w:bCs/>
          <w:sz w:val="22"/>
          <w:szCs w:val="22"/>
          <w:u w:val="single"/>
        </w:rPr>
        <w:lastRenderedPageBreak/>
        <w:t>Stipendije za učenike srednje medicinske škole</w:t>
      </w:r>
    </w:p>
    <w:p w:rsidR="005D6BD3" w:rsidRPr="005D6BD3" w:rsidRDefault="005D6BD3" w:rsidP="005D6BD3">
      <w:pPr>
        <w:spacing w:line="259" w:lineRule="auto"/>
        <w:jc w:val="both"/>
        <w:rPr>
          <w:rFonts w:ascii="Arial" w:hAnsi="Arial" w:cs="Arial"/>
          <w:b/>
          <w:bCs/>
          <w:sz w:val="22"/>
          <w:szCs w:val="22"/>
        </w:rPr>
      </w:pPr>
      <w:r w:rsidRPr="005D6BD3">
        <w:rPr>
          <w:rFonts w:ascii="Arial" w:hAnsi="Arial" w:cs="Arial"/>
          <w:b/>
          <w:bCs/>
          <w:sz w:val="22"/>
          <w:szCs w:val="22"/>
        </w:rPr>
        <w:t xml:space="preserve"> </w:t>
      </w:r>
    </w:p>
    <w:p w:rsidR="005D6BD3" w:rsidRPr="005D6BD3" w:rsidRDefault="005D6BD3" w:rsidP="005D6BD3">
      <w:pPr>
        <w:jc w:val="both"/>
        <w:rPr>
          <w:rFonts w:ascii="Arial" w:hAnsi="Arial" w:cs="Arial"/>
          <w:bCs/>
          <w:sz w:val="22"/>
          <w:szCs w:val="22"/>
        </w:rPr>
      </w:pPr>
      <w:r w:rsidRPr="005D6BD3">
        <w:rPr>
          <w:rFonts w:ascii="Arial" w:hAnsi="Arial" w:cs="Arial"/>
          <w:bCs/>
          <w:sz w:val="22"/>
          <w:szCs w:val="22"/>
          <w:u w:val="single"/>
        </w:rPr>
        <w:t>Korisnici:</w:t>
      </w:r>
      <w:r w:rsidRPr="005D6BD3">
        <w:rPr>
          <w:rFonts w:ascii="Arial" w:hAnsi="Arial" w:cs="Arial"/>
          <w:bCs/>
          <w:sz w:val="22"/>
          <w:szCs w:val="22"/>
        </w:rPr>
        <w:t xml:space="preserve"> punoljetni učenici srednje medicinske škole – 18 učenika</w:t>
      </w:r>
    </w:p>
    <w:p w:rsidR="005D6BD3" w:rsidRPr="005D6BD3" w:rsidRDefault="005D6BD3" w:rsidP="005D6BD3">
      <w:pPr>
        <w:jc w:val="both"/>
        <w:rPr>
          <w:rFonts w:ascii="Arial" w:hAnsi="Arial" w:cs="Arial"/>
          <w:bCs/>
          <w:sz w:val="22"/>
          <w:szCs w:val="22"/>
        </w:rPr>
      </w:pPr>
      <w:r w:rsidRPr="005D6BD3">
        <w:rPr>
          <w:rFonts w:ascii="Arial" w:hAnsi="Arial" w:cs="Arial"/>
          <w:bCs/>
          <w:sz w:val="22"/>
          <w:szCs w:val="22"/>
          <w:u w:val="single"/>
        </w:rPr>
        <w:t>Visina stipendije</w:t>
      </w:r>
      <w:r w:rsidRPr="005D6BD3">
        <w:rPr>
          <w:rFonts w:ascii="Arial" w:hAnsi="Arial" w:cs="Arial"/>
          <w:bCs/>
          <w:sz w:val="22"/>
          <w:szCs w:val="22"/>
        </w:rPr>
        <w:t xml:space="preserve">: 900,00 kn po učeniku/mj  (4 mjeseca) </w:t>
      </w:r>
    </w:p>
    <w:p w:rsidR="005D6BD3" w:rsidRPr="005D6BD3" w:rsidRDefault="005D6BD3" w:rsidP="005D6BD3">
      <w:pPr>
        <w:jc w:val="both"/>
        <w:rPr>
          <w:rFonts w:ascii="Arial" w:hAnsi="Arial" w:cs="Arial"/>
          <w:sz w:val="22"/>
          <w:szCs w:val="22"/>
          <w:u w:val="single"/>
        </w:rPr>
      </w:pPr>
      <w:r w:rsidRPr="005D6BD3">
        <w:rPr>
          <w:rFonts w:ascii="Arial" w:hAnsi="Arial" w:cs="Arial"/>
          <w:sz w:val="22"/>
          <w:szCs w:val="22"/>
          <w:u w:val="single"/>
        </w:rPr>
        <w:t xml:space="preserve">Opis: </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Dodjela stipendija punoljetnim učenicima IV/V razreda srednje medicinske škole s ciljem zadržavanja medicinskog kadra u zdravstvenim ustanovama kojima je osnivač Istarska županija. </w:t>
      </w:r>
    </w:p>
    <w:p w:rsidR="005D6BD3" w:rsidRPr="005D6BD3" w:rsidRDefault="005D6BD3" w:rsidP="005D6BD3">
      <w:pPr>
        <w:jc w:val="both"/>
        <w:rPr>
          <w:rFonts w:ascii="Arial" w:hAnsi="Arial" w:cs="Arial"/>
          <w:sz w:val="22"/>
          <w:szCs w:val="22"/>
        </w:rPr>
      </w:pPr>
      <w:r w:rsidRPr="005D6BD3">
        <w:rPr>
          <w:rFonts w:ascii="Arial" w:hAnsi="Arial" w:cs="Arial"/>
          <w:sz w:val="22"/>
          <w:szCs w:val="22"/>
        </w:rPr>
        <w:t>Natječaj za stipendije provodit će zdravstvene ustanove koje su iskazale potrebu, a temeljem zajednički usuglašenih kriterija. Sredstva za stipendije osiguravaju se u Proračunu Istarske županije, na pozicijama zdravstvenih ustanova,  izvor: nenamjenska sredstva Istarske županije.</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Ugovaranje stipendija planira se u prosincu 2022. godine za razdoblje 01.09. – 31.12.2022. godine. Sredstva za realizaciju (izvor: nenamjenska sredstva Istarske županije) u ukupnoj visini od 64.800,00 kn. </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u w:val="single"/>
        </w:rPr>
        <w:t>Planirani raspored stipendija po zdravstvenim ustanovama u 2022. godini</w:t>
      </w:r>
      <w:r w:rsidRPr="005D6BD3">
        <w:rPr>
          <w:rFonts w:ascii="Arial" w:hAnsi="Arial" w:cs="Arial"/>
          <w:sz w:val="22"/>
          <w:szCs w:val="22"/>
        </w:rPr>
        <w:t>:</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Opća bolnica Pula (10 učenika) 36.000,00 kn </w:t>
      </w:r>
    </w:p>
    <w:p w:rsidR="005D6BD3" w:rsidRPr="005D6BD3" w:rsidRDefault="005D6BD3" w:rsidP="005D6BD3">
      <w:pPr>
        <w:jc w:val="both"/>
        <w:rPr>
          <w:rFonts w:ascii="Arial" w:hAnsi="Arial" w:cs="Arial"/>
          <w:sz w:val="22"/>
          <w:szCs w:val="22"/>
        </w:rPr>
      </w:pPr>
      <w:r w:rsidRPr="005D6BD3">
        <w:rPr>
          <w:rFonts w:ascii="Arial" w:hAnsi="Arial" w:cs="Arial"/>
          <w:sz w:val="22"/>
          <w:szCs w:val="22"/>
        </w:rPr>
        <w:t>Istarski domovi zdravlja (5 učenika) 18.000,00 kn</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Specijalna bolnica Rovinj (3 učenika) 10.800,00 kn </w:t>
      </w:r>
    </w:p>
    <w:p w:rsidR="005D6BD3" w:rsidRDefault="005D6BD3" w:rsidP="005D6BD3">
      <w:pPr>
        <w:jc w:val="both"/>
        <w:rPr>
          <w:rFonts w:ascii="Arial" w:hAnsi="Arial" w:cs="Arial"/>
          <w:sz w:val="22"/>
          <w:szCs w:val="22"/>
        </w:rPr>
      </w:pPr>
    </w:p>
    <w:p w:rsidR="0020215D" w:rsidRPr="005D6BD3" w:rsidRDefault="0020215D" w:rsidP="005D6BD3">
      <w:pPr>
        <w:jc w:val="both"/>
        <w:rPr>
          <w:rFonts w:ascii="Arial" w:hAnsi="Arial" w:cs="Arial"/>
          <w:sz w:val="22"/>
          <w:szCs w:val="22"/>
        </w:rPr>
      </w:pPr>
    </w:p>
    <w:p w:rsidR="005D6BD3" w:rsidRPr="005D6BD3" w:rsidRDefault="005D6BD3" w:rsidP="005D6BD3">
      <w:pPr>
        <w:spacing w:line="259" w:lineRule="auto"/>
        <w:jc w:val="both"/>
        <w:rPr>
          <w:rFonts w:ascii="Arial" w:hAnsi="Arial" w:cs="Arial"/>
          <w:b/>
          <w:sz w:val="22"/>
          <w:szCs w:val="22"/>
          <w:u w:val="single"/>
        </w:rPr>
      </w:pPr>
      <w:r w:rsidRPr="005D6BD3">
        <w:rPr>
          <w:rFonts w:ascii="Arial" w:hAnsi="Arial" w:cs="Arial"/>
          <w:b/>
          <w:sz w:val="22"/>
          <w:szCs w:val="22"/>
          <w:u w:val="single"/>
        </w:rPr>
        <w:t>Domovi za starije osobe – osnovna djelatnost</w:t>
      </w:r>
    </w:p>
    <w:p w:rsidR="005D6BD3" w:rsidRPr="005D6BD3" w:rsidRDefault="005D6BD3" w:rsidP="005D6BD3">
      <w:pPr>
        <w:spacing w:line="259" w:lineRule="auto"/>
        <w:jc w:val="both"/>
        <w:rPr>
          <w:rFonts w:ascii="Arial" w:hAnsi="Arial" w:cs="Arial"/>
          <w:b/>
          <w:sz w:val="22"/>
          <w:szCs w:val="22"/>
        </w:rPr>
      </w:pPr>
    </w:p>
    <w:p w:rsidR="005D6BD3" w:rsidRPr="005D6BD3" w:rsidRDefault="005D6BD3" w:rsidP="005D6BD3">
      <w:pPr>
        <w:jc w:val="both"/>
        <w:rPr>
          <w:rFonts w:ascii="Arial" w:hAnsi="Arial" w:cs="Arial"/>
          <w:sz w:val="22"/>
          <w:szCs w:val="22"/>
          <w:u w:val="single"/>
        </w:rPr>
      </w:pPr>
      <w:r w:rsidRPr="005D6BD3">
        <w:rPr>
          <w:rFonts w:ascii="Arial" w:hAnsi="Arial" w:cs="Arial"/>
          <w:sz w:val="22"/>
          <w:szCs w:val="22"/>
          <w:u w:val="single"/>
        </w:rPr>
        <w:t>Korisnici:</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Dom za starije osobe Novigrad (300.000,00 kn) </w:t>
      </w: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Dom za starije osobe Alfredo Štiglić Pula (100.000,00 kn) </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Sukladno zahtjevima proračunskih korisnika Doma za starije osobe u Novigradu i Doma za starije osobe A.Štiglić u Puli osiguravaju se dodatna financijska sredstva radi osiguravanja ravnoteže poslovanja/likvidnosti odnosno podmirivanja obveza prema radnicima i dobavljačima. </w:t>
      </w:r>
    </w:p>
    <w:p w:rsidR="005D6BD3" w:rsidRPr="005D6BD3" w:rsidRDefault="005D6BD3" w:rsidP="005D6BD3">
      <w:pPr>
        <w:jc w:val="both"/>
        <w:rPr>
          <w:rFonts w:ascii="Arial" w:hAnsi="Arial" w:cs="Arial"/>
          <w:sz w:val="22"/>
          <w:szCs w:val="22"/>
        </w:rPr>
      </w:pPr>
      <w:r w:rsidRPr="005D6BD3">
        <w:rPr>
          <w:rFonts w:ascii="Arial" w:hAnsi="Arial" w:cs="Arial"/>
          <w:sz w:val="22"/>
          <w:szCs w:val="22"/>
        </w:rPr>
        <w:t>Manjak sredstava u odnosu na plan nastao je prioritetno zbog:</w:t>
      </w:r>
    </w:p>
    <w:p w:rsidR="005D6BD3" w:rsidRPr="005D6BD3" w:rsidRDefault="005D6BD3" w:rsidP="005D6BD3">
      <w:pPr>
        <w:numPr>
          <w:ilvl w:val="0"/>
          <w:numId w:val="24"/>
        </w:numPr>
        <w:tabs>
          <w:tab w:val="left" w:pos="284"/>
        </w:tabs>
        <w:spacing w:after="160" w:line="259" w:lineRule="auto"/>
        <w:ind w:left="0" w:firstLine="0"/>
        <w:contextualSpacing/>
        <w:jc w:val="both"/>
        <w:rPr>
          <w:rFonts w:ascii="Arial" w:hAnsi="Arial" w:cs="Arial"/>
          <w:sz w:val="22"/>
          <w:szCs w:val="22"/>
          <w:lang w:eastAsia="en-US"/>
        </w:rPr>
      </w:pPr>
      <w:r w:rsidRPr="005D6BD3">
        <w:rPr>
          <w:rFonts w:ascii="Arial" w:hAnsi="Arial" w:cs="Arial"/>
          <w:sz w:val="22"/>
          <w:szCs w:val="22"/>
          <w:lang w:eastAsia="en-US"/>
        </w:rPr>
        <w:t xml:space="preserve"> povećanja cijena energenata i prehrane (npr. račun za istu količinu lož ulja za Dom u Novigradu u veljači 2021. je iznosio 53.800,00 kn, u veljači 2022. 90.100,00 kn, a u srpnju 2022. 136.000,00 kn) </w:t>
      </w:r>
    </w:p>
    <w:p w:rsidR="005D6BD3" w:rsidRPr="005D6BD3" w:rsidRDefault="005D6BD3" w:rsidP="005D6BD3">
      <w:pPr>
        <w:numPr>
          <w:ilvl w:val="0"/>
          <w:numId w:val="24"/>
        </w:numPr>
        <w:tabs>
          <w:tab w:val="left" w:pos="284"/>
        </w:tabs>
        <w:spacing w:after="160" w:line="259" w:lineRule="auto"/>
        <w:ind w:left="0" w:firstLine="0"/>
        <w:contextualSpacing/>
        <w:jc w:val="both"/>
        <w:rPr>
          <w:rFonts w:ascii="Arial" w:hAnsi="Arial" w:cs="Arial"/>
          <w:sz w:val="22"/>
          <w:szCs w:val="22"/>
          <w:lang w:eastAsia="en-US"/>
        </w:rPr>
      </w:pPr>
      <w:r w:rsidRPr="005D6BD3">
        <w:rPr>
          <w:rFonts w:ascii="Arial" w:hAnsi="Arial" w:cs="Arial"/>
          <w:sz w:val="22"/>
          <w:szCs w:val="22"/>
          <w:lang w:eastAsia="en-US"/>
        </w:rPr>
        <w:t xml:space="preserve"> manje realiziranih vlastitih prihoda (zbog protuepidemijskih mjera ustanove su imale sporije popunjavanje smještajnih kapaciteta i/ili prazna mjesta dok su korisnici npr. bili u bolnici te ograničenje broja korisnika u boravcima)</w:t>
      </w:r>
    </w:p>
    <w:p w:rsidR="005D6BD3" w:rsidRDefault="005D6BD3" w:rsidP="005D6BD3">
      <w:pPr>
        <w:jc w:val="both"/>
        <w:rPr>
          <w:rFonts w:ascii="Arial" w:hAnsi="Arial" w:cs="Arial"/>
          <w:b/>
          <w:sz w:val="22"/>
          <w:szCs w:val="22"/>
        </w:rPr>
      </w:pPr>
    </w:p>
    <w:p w:rsidR="0020215D" w:rsidRPr="005D6BD3" w:rsidRDefault="0020215D" w:rsidP="005D6BD3">
      <w:pPr>
        <w:jc w:val="both"/>
        <w:rPr>
          <w:rFonts w:ascii="Arial" w:hAnsi="Arial" w:cs="Arial"/>
          <w:b/>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Materijalni rashodi  po stvarnom trošku osnovnih i srednjih škola – iznad standarda</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Zbog nedostatnih decentraliziranih sredstava  planirana su sredstva iznad standarda kojim su povećana sredstva za energente, putne troškove i zdravstvene preglede zaposlenika u osnovnim i srednjim školama. Razlog tomu je poskupljenja cijena struje, lož ulja i plina  te potpisivanje novog kolektivnog ugovora za škole u kojem je predviđena nova cijena po km za putne troškove po zaposleniku. </w:t>
      </w:r>
    </w:p>
    <w:p w:rsidR="005D6BD3" w:rsidRDefault="005D6BD3" w:rsidP="005D6BD3">
      <w:pPr>
        <w:jc w:val="both"/>
        <w:rPr>
          <w:rFonts w:ascii="Arial" w:hAnsi="Arial" w:cs="Arial"/>
          <w:sz w:val="22"/>
          <w:szCs w:val="22"/>
        </w:rPr>
      </w:pPr>
    </w:p>
    <w:p w:rsidR="0020215D" w:rsidRDefault="0020215D" w:rsidP="005D6BD3">
      <w:pPr>
        <w:jc w:val="both"/>
        <w:rPr>
          <w:rFonts w:ascii="Arial" w:hAnsi="Arial" w:cs="Arial"/>
          <w:sz w:val="22"/>
          <w:szCs w:val="22"/>
        </w:rPr>
      </w:pPr>
    </w:p>
    <w:p w:rsidR="0020215D" w:rsidRDefault="0020215D" w:rsidP="005D6BD3">
      <w:pPr>
        <w:jc w:val="both"/>
        <w:rPr>
          <w:rFonts w:ascii="Arial" w:hAnsi="Arial" w:cs="Arial"/>
          <w:sz w:val="22"/>
          <w:szCs w:val="22"/>
        </w:rPr>
      </w:pPr>
    </w:p>
    <w:p w:rsidR="0020215D" w:rsidRDefault="0020215D" w:rsidP="005D6BD3">
      <w:pPr>
        <w:jc w:val="both"/>
        <w:rPr>
          <w:rFonts w:ascii="Arial" w:hAnsi="Arial" w:cs="Arial"/>
          <w:sz w:val="22"/>
          <w:szCs w:val="22"/>
        </w:rPr>
      </w:pPr>
    </w:p>
    <w:p w:rsidR="0020215D" w:rsidRPr="005D6BD3" w:rsidRDefault="0020215D"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lastRenderedPageBreak/>
        <w:t xml:space="preserve">Pomoćnici u nastavi </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Sukladno zahtjevima osnovnih i srednjih škola smanjena su sredstava na pomoćnicima u nastavi za učenike s teškoćama za šk.godinu 2021./2022. financirano je 3 pomoćnika u nastavi, a u šk. godini 2022./2023. financira se 6 pomoćnika u nastavi. Budući da se projektom Istarske županije „ Mozaik 5“ osigurava sufinanciranje pomoćnika u nastavi za šk. godinu 2022./2023. iz Europskog socijalnog fonda za 104 učenika, smanjena su planirana sredstva na aktivnostima pomoćnika u nastavi.</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Projekt MOZAIK 5</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Projektom MOZAIK 5 daje se snažna podrška integraciji djece s teškoćama u razvoju u redovne osnovnoškolske i srednjoškolske ustanove u Istarskoj županiji osiguravanjem pomoćnika u nastavi/ stručno komunikacijskih posrednika koji će im pružiti neposrednu potporu tijekom odgojno- obrazovnog procesa u školskoj godini 2022./23. </w:t>
      </w:r>
    </w:p>
    <w:p w:rsidR="005D6BD3" w:rsidRPr="005D6BD3" w:rsidRDefault="005D6BD3" w:rsidP="005D6BD3">
      <w:pPr>
        <w:jc w:val="both"/>
        <w:rPr>
          <w:rFonts w:ascii="Arial" w:hAnsi="Arial" w:cs="Arial"/>
          <w:sz w:val="22"/>
          <w:szCs w:val="22"/>
        </w:rPr>
      </w:pPr>
      <w:r w:rsidRPr="005D6BD3">
        <w:rPr>
          <w:rFonts w:ascii="Arial" w:hAnsi="Arial" w:cs="Arial"/>
          <w:sz w:val="22"/>
          <w:szCs w:val="22"/>
        </w:rPr>
        <w:t>Ciljana skupina projekta je 104 učenika osnovnih i srednjih škola kojima je osnivač Istarska županija. Projektom se stvaraju preduvjeti za inkluzivno obrazovanje, poboljšanje obrazovnih postignuća i uspješnu socijalizaciju učenika s teškoćama u razvoju. Razdoblje provedbe Projekta započinje 17. kolovoza 2022. i traje do 17. kolovoza 2023., tj za školsku godinu 2022./23.</w:t>
      </w:r>
      <w:r w:rsidR="002243F5">
        <w:rPr>
          <w:rFonts w:ascii="Arial" w:hAnsi="Arial" w:cs="Arial"/>
          <w:sz w:val="22"/>
          <w:szCs w:val="22"/>
        </w:rPr>
        <w:t xml:space="preserve"> </w:t>
      </w:r>
      <w:r w:rsidRPr="005D6BD3">
        <w:rPr>
          <w:rFonts w:ascii="Arial" w:hAnsi="Arial" w:cs="Arial"/>
          <w:sz w:val="22"/>
          <w:szCs w:val="22"/>
        </w:rPr>
        <w:t xml:space="preserve">Pokazatelji na temelju kojih su utvrđena potrebna sredstva se odnose na broj učenika s teškoćama kojima je osigurana stručna podrška pomoćnika u nastavi/ stručnog komunikacijskog posrednika tj. trošak rada za 104 pomoćnika u nastavi/ stručnog komunikacijskog posrednik te ostali troškovi koji se odnose na provedbu prihvatljivih aktivnosti koje su neposredno vezane uz rad PUN/SKP. </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 xml:space="preserve">Fotonaponske elektrane kod OŠ i SŠ </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 xml:space="preserve">Grad Buzet je pripremio projektne prijedloge za prijavu OŠ „Vazmoslav Gržalja“ Buzet i SŠ Buzet na natječaj Fonda za zaštitu okoliša i energetsku učinkovitost za sufinanciranje izgradnje fotonaponskih elektrana (FNE) na krovovima. Fond je za obje škole donio odluku o sufinanciranju, te su obje škole sklopile ugovore o sufinanciranju sa Fondom u 8. </w:t>
      </w:r>
      <w:r w:rsidR="0020215D">
        <w:rPr>
          <w:rFonts w:ascii="Arial" w:hAnsi="Arial" w:cs="Arial"/>
          <w:sz w:val="22"/>
          <w:szCs w:val="22"/>
        </w:rPr>
        <w:t>odnosno 9. mjesecu. U tom smislu</w:t>
      </w:r>
      <w:r w:rsidRPr="005D6BD3">
        <w:rPr>
          <w:rFonts w:ascii="Arial" w:hAnsi="Arial" w:cs="Arial"/>
          <w:sz w:val="22"/>
          <w:szCs w:val="22"/>
        </w:rPr>
        <w:t xml:space="preserve"> odobreni su prihvatljivi troškovi za Osnovnu školu „Vazmoslav Gržalja“ Buzet u iznosu od 670.873,75 kn, te za Srednju školu Buzet u iznosu od 289.931,25 kn, od čega Fond sufinancira 40%, dok škole moraju osigurati preostalih 60% sredstava, s tim da Fond vrši isplatu tek po završetku svih aktivnosti u okviru projekta.</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 xml:space="preserve">Ulaganja u TOŠ Novigrad </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Predlaže se planiranje nove aktivnosti u skladu sa Sporazumom o sufinanciranju izgradnje i opremanja školske zgrade TOŠ Novigrad, kojeg su Istarska županija, Grad Novigrad i Talijanska unija sklopili 25. kolovoza 2022. godine. Procijenjena vrijednost investicije iznosi 20.000.000,00 kn, od čega se Grad Novigrad obvezuje osigurati 1.000.000,00 kn, Talijanska unija se obvezuje osigurati 1.400.000,00 €, dok se Istarska županija obvezuje osigurati ostatak iznosa do ukupne vrijednosti projekta.</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Opremanje knjižnica u OŠ i SŠ</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Temeljem Odluke Župana, te nakon održanog prijema za najbolje odgojno – obrazovne djelatnike u RH,  planirana su sredstva za nabavu knjiga u šk. knjižnicama za OŠ i SŠ. U prijedlogu proračuna IŽ je planirano ukupno  205.000,00 kn za opremanje knjižnica za OŠ i SŠ sukladno zahtjevu Županijskog stručnog vijeća školskih knjižničara Istarske županije.</w:t>
      </w:r>
    </w:p>
    <w:p w:rsidR="005D6BD3" w:rsidRDefault="005D6BD3" w:rsidP="005D6BD3">
      <w:pPr>
        <w:jc w:val="both"/>
        <w:rPr>
          <w:rFonts w:ascii="Arial" w:hAnsi="Arial" w:cs="Arial"/>
          <w:sz w:val="22"/>
          <w:szCs w:val="22"/>
        </w:rPr>
      </w:pPr>
    </w:p>
    <w:p w:rsidR="0020215D" w:rsidRPr="005D6BD3" w:rsidRDefault="0020215D" w:rsidP="005D6BD3">
      <w:pPr>
        <w:jc w:val="both"/>
        <w:rPr>
          <w:rFonts w:ascii="Arial" w:hAnsi="Arial" w:cs="Arial"/>
          <w:sz w:val="22"/>
          <w:szCs w:val="22"/>
        </w:rPr>
      </w:pPr>
      <w:bookmarkStart w:id="0" w:name="_GoBack"/>
      <w:bookmarkEnd w:id="0"/>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lastRenderedPageBreak/>
        <w:t xml:space="preserve">Investicijsko održavanje OŠ   –iznad standarda </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sz w:val="22"/>
          <w:szCs w:val="22"/>
        </w:rPr>
      </w:pPr>
      <w:r w:rsidRPr="005D6BD3">
        <w:rPr>
          <w:rFonts w:ascii="Arial" w:hAnsi="Arial" w:cs="Arial"/>
          <w:sz w:val="22"/>
          <w:szCs w:val="22"/>
        </w:rPr>
        <w:t>Kod investicijsko</w:t>
      </w:r>
      <w:r w:rsidR="0020215D">
        <w:rPr>
          <w:rFonts w:ascii="Arial" w:hAnsi="Arial" w:cs="Arial"/>
          <w:sz w:val="22"/>
          <w:szCs w:val="22"/>
        </w:rPr>
        <w:t>g</w:t>
      </w:r>
      <w:r w:rsidRPr="005D6BD3">
        <w:rPr>
          <w:rFonts w:ascii="Arial" w:hAnsi="Arial" w:cs="Arial"/>
          <w:sz w:val="22"/>
          <w:szCs w:val="22"/>
        </w:rPr>
        <w:t xml:space="preserve"> održavanja OŠ dodatno su planirani radovi održavanja podova u OŠ Buzet u matičnoj zgradi.</w:t>
      </w:r>
    </w:p>
    <w:p w:rsidR="005D6BD3" w:rsidRPr="005D6BD3" w:rsidRDefault="005D6BD3" w:rsidP="005D6BD3">
      <w:pPr>
        <w:jc w:val="both"/>
        <w:rPr>
          <w:rFonts w:ascii="Arial" w:hAnsi="Arial" w:cs="Arial"/>
          <w:sz w:val="22"/>
          <w:szCs w:val="22"/>
        </w:rPr>
      </w:pPr>
      <w:r w:rsidRPr="005D6BD3">
        <w:rPr>
          <w:rFonts w:ascii="Arial" w:hAnsi="Arial" w:cs="Arial"/>
          <w:sz w:val="22"/>
          <w:szCs w:val="22"/>
        </w:rPr>
        <w:t>Kod investicijsko</w:t>
      </w:r>
      <w:r w:rsidR="0020215D">
        <w:rPr>
          <w:rFonts w:ascii="Arial" w:hAnsi="Arial" w:cs="Arial"/>
          <w:sz w:val="22"/>
          <w:szCs w:val="22"/>
        </w:rPr>
        <w:t>g</w:t>
      </w:r>
      <w:r w:rsidRPr="005D6BD3">
        <w:rPr>
          <w:rFonts w:ascii="Arial" w:hAnsi="Arial" w:cs="Arial"/>
          <w:sz w:val="22"/>
          <w:szCs w:val="22"/>
        </w:rPr>
        <w:t xml:space="preserve"> održavanje SŠ  dodatno su planirani radovi sanacije ulaznog pročelja zgrade Učeničkog doma Pula, uređenje sanitarnog čvora u Strukovnoj školi Pula, sanacija ulaznog stopa u Gospodarskoj školi Buje te zamjena dijela otvora i ograđivanje zgrade Turističko ugostiteljske škole Antona Štifanića Poreč.</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Projekt KLIK- ERDF</w:t>
      </w:r>
    </w:p>
    <w:p w:rsidR="005D6BD3" w:rsidRPr="005D6BD3" w:rsidRDefault="005D6BD3" w:rsidP="005D6BD3">
      <w:pPr>
        <w:jc w:val="both"/>
        <w:rPr>
          <w:rFonts w:ascii="Arial" w:hAnsi="Arial" w:cs="Arial"/>
          <w:sz w:val="22"/>
          <w:szCs w:val="22"/>
        </w:rPr>
      </w:pPr>
    </w:p>
    <w:p w:rsidR="005D6BD3" w:rsidRPr="005D6BD3" w:rsidRDefault="005D6BD3" w:rsidP="005D6BD3">
      <w:pPr>
        <w:jc w:val="both"/>
        <w:rPr>
          <w:rFonts w:ascii="Arial" w:hAnsi="Arial" w:cs="Arial"/>
          <w:color w:val="000000" w:themeColor="text1"/>
          <w:sz w:val="22"/>
          <w:szCs w:val="22"/>
        </w:rPr>
      </w:pPr>
      <w:r w:rsidRPr="005D6BD3">
        <w:rPr>
          <w:rFonts w:ascii="Arial" w:hAnsi="Arial" w:cs="Arial"/>
          <w:color w:val="000000" w:themeColor="text1"/>
          <w:sz w:val="22"/>
          <w:szCs w:val="22"/>
        </w:rPr>
        <w:t>Nastavlja se upravljanje projektom i koordinacija projektnih aktivnosti, te izvještavanje o postignutim ciljevima i rezultatima.</w:t>
      </w:r>
      <w:r w:rsidRPr="005D6BD3">
        <w:rPr>
          <w:rFonts w:ascii="Arial" w:hAnsi="Arial" w:cs="Arial"/>
          <w:sz w:val="22"/>
          <w:szCs w:val="22"/>
        </w:rPr>
        <w:t xml:space="preserve"> Predlaže se povećanje sredstava radi financiranja radova i usluga rekonstrukcije i dogradnje Centra za Kompetentno cjeloživotno razvijanje Inovativnih znanja i vještina u sektoru ugostiteljstva i turizma Pula – KLIK Pula. Naime, provedeni su postupci nabave i ugovoreno izvođenje radova te usluga stručnog nadzora, projektantskog nadzora i voditelja projekta u ukupnom iznosu od 50.867.717,13 kn. Gradilište je otvoreno sredinom listopada 2022. godine, te se radovi izvode ugovorenom dinamikom.</w:t>
      </w:r>
    </w:p>
    <w:p w:rsidR="005D6BD3" w:rsidRPr="005D6BD3" w:rsidRDefault="005D6BD3" w:rsidP="005D6BD3">
      <w:pPr>
        <w:jc w:val="both"/>
        <w:rPr>
          <w:rFonts w:ascii="Arial" w:hAnsi="Arial" w:cs="Arial"/>
          <w:b/>
          <w:sz w:val="22"/>
          <w:szCs w:val="22"/>
        </w:rPr>
      </w:pPr>
    </w:p>
    <w:p w:rsidR="005D6BD3" w:rsidRPr="005D6BD3" w:rsidRDefault="005D6BD3" w:rsidP="005D6BD3">
      <w:pPr>
        <w:jc w:val="both"/>
        <w:rPr>
          <w:rFonts w:ascii="Arial" w:hAnsi="Arial" w:cs="Arial"/>
          <w:b/>
          <w:sz w:val="22"/>
          <w:szCs w:val="22"/>
          <w:u w:val="single"/>
        </w:rPr>
      </w:pPr>
      <w:r w:rsidRPr="005D6BD3">
        <w:rPr>
          <w:rFonts w:ascii="Arial" w:hAnsi="Arial" w:cs="Arial"/>
          <w:b/>
          <w:sz w:val="22"/>
          <w:szCs w:val="22"/>
          <w:u w:val="single"/>
        </w:rPr>
        <w:t>Poticanje obnovljivih izvora u Istarskoj županiji i Projekt „Dobra energija“</w:t>
      </w:r>
    </w:p>
    <w:p w:rsidR="005D6BD3" w:rsidRPr="005D6BD3" w:rsidRDefault="005D6BD3" w:rsidP="005D6BD3">
      <w:pPr>
        <w:jc w:val="both"/>
        <w:rPr>
          <w:rFonts w:ascii="Arial" w:hAnsi="Arial" w:cs="Arial"/>
          <w:sz w:val="22"/>
          <w:szCs w:val="22"/>
        </w:rPr>
      </w:pPr>
    </w:p>
    <w:p w:rsidR="00D85D3E" w:rsidRDefault="005D6BD3" w:rsidP="005D6BD3">
      <w:pPr>
        <w:jc w:val="both"/>
        <w:rPr>
          <w:rFonts w:ascii="Arial" w:hAnsi="Arial" w:cs="Arial"/>
          <w:b/>
          <w:spacing w:val="-1"/>
          <w:sz w:val="22"/>
          <w:szCs w:val="22"/>
        </w:rPr>
      </w:pPr>
      <w:r w:rsidRPr="005D6BD3">
        <w:rPr>
          <w:rFonts w:ascii="Arial" w:hAnsi="Arial" w:cs="Arial"/>
          <w:sz w:val="22"/>
          <w:szCs w:val="22"/>
        </w:rPr>
        <w:t>Sredstva planirana u proračunu Istarske županija za 2022. godinu za aktivnost A320401 – „Poticanje obnovljivih izvora energije“ u visini 2.350.000,00 kn preraspoređuju se na način da se 2.000.000,00 kn predviđena za sufinanciranje provedbe projekta „Dobra energija“ – solarna energija za energetsku tranziciju“ od strane IRENA-e d.o.o. preraspoređuju na novootvorenu aktivnost A320406 – „Projekt Dobra energija“ budući da će projekt provoditi Istarska županija u svojstvu vodećeg partnera.  Za provedbu projekta osigurava se 986.723,11 kn nenamjenskih sredstava i 2.670.047.01 kn namjenskih sredstava. Od ukupno predviđenih namjenskih sredstava, iznos od 1.405.000,00 kn odnosi se na iznos predfinanciranja koji će biti prenijet projektnim partnerima nakon uplate sredstava od strane Ministarstva regionalnog razvoja i fondova EU za navedenu svrhu. Projekt je sufinanciran od strane EGP financijskog mehanizma za razdoblje od 2014. do 2021. g. u okviru provedbe programa „Energija i klimatske promjene“ u visini 85% ukupnog iznosa projekta, a počeo je s provedbom u lipnju 2022. godine. Cilj projekta je povećanje proizvodnje energije iz obnovljivih izvora. Glavna aktivnost projekta je postavljanje solarnih elektrana na krovove zgrada Osnovne škole Vodnjan, Industrijsko obrtničke škole Pula, sportske dvorane Škole za turizam, ugostiteljstvo i trgovinu Pula i Talijanske srednje škole Dante Alighieri.</w:t>
      </w:r>
    </w:p>
    <w:sectPr w:rsidR="00D85D3E"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228" w:rsidRDefault="00111228">
      <w:r>
        <w:separator/>
      </w:r>
    </w:p>
  </w:endnote>
  <w:endnote w:type="continuationSeparator" w:id="0">
    <w:p w:rsidR="00111228" w:rsidRDefault="0011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228" w:rsidRDefault="00111228">
      <w:r>
        <w:separator/>
      </w:r>
    </w:p>
  </w:footnote>
  <w:footnote w:type="continuationSeparator" w:id="0">
    <w:p w:rsidR="00111228" w:rsidRDefault="00111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94C"/>
    <w:multiLevelType w:val="hybridMultilevel"/>
    <w:tmpl w:val="197C0356"/>
    <w:lvl w:ilvl="0" w:tplc="AAC24820">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2" w15:restartNumberingAfterBreak="0">
    <w:nsid w:val="06D551BD"/>
    <w:multiLevelType w:val="hybridMultilevel"/>
    <w:tmpl w:val="61E4EE6A"/>
    <w:lvl w:ilvl="0" w:tplc="E12C032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235B56"/>
    <w:multiLevelType w:val="hybridMultilevel"/>
    <w:tmpl w:val="E862B4EA"/>
    <w:lvl w:ilvl="0" w:tplc="4D72A532">
      <w:start w:val="1"/>
      <w:numFmt w:val="bullet"/>
      <w:lvlText w:val="-"/>
      <w:lvlJc w:val="left"/>
      <w:pPr>
        <w:ind w:left="1080" w:hanging="360"/>
      </w:pPr>
      <w:rPr>
        <w:rFonts w:ascii="Arial" w:eastAsia="Times New Roman" w:hAnsi="Arial" w:cs="Arial" w:hint="default"/>
      </w:rPr>
    </w:lvl>
    <w:lvl w:ilvl="1" w:tplc="041A0003">
      <w:start w:val="1"/>
      <w:numFmt w:val="decimal"/>
      <w:lvlText w:val="%2."/>
      <w:lvlJc w:val="left"/>
      <w:pPr>
        <w:tabs>
          <w:tab w:val="num" w:pos="1800"/>
        </w:tabs>
        <w:ind w:left="1800" w:hanging="360"/>
      </w:pPr>
    </w:lvl>
    <w:lvl w:ilvl="2" w:tplc="041A0005">
      <w:start w:val="1"/>
      <w:numFmt w:val="decimal"/>
      <w:lvlText w:val="%3."/>
      <w:lvlJc w:val="left"/>
      <w:pPr>
        <w:tabs>
          <w:tab w:val="num" w:pos="2520"/>
        </w:tabs>
        <w:ind w:left="2520" w:hanging="360"/>
      </w:pPr>
    </w:lvl>
    <w:lvl w:ilvl="3" w:tplc="041A0001">
      <w:start w:val="1"/>
      <w:numFmt w:val="decimal"/>
      <w:lvlText w:val="%4."/>
      <w:lvlJc w:val="left"/>
      <w:pPr>
        <w:tabs>
          <w:tab w:val="num" w:pos="3240"/>
        </w:tabs>
        <w:ind w:left="3240" w:hanging="360"/>
      </w:pPr>
    </w:lvl>
    <w:lvl w:ilvl="4" w:tplc="041A0003">
      <w:start w:val="1"/>
      <w:numFmt w:val="decimal"/>
      <w:lvlText w:val="%5."/>
      <w:lvlJc w:val="left"/>
      <w:pPr>
        <w:tabs>
          <w:tab w:val="num" w:pos="3960"/>
        </w:tabs>
        <w:ind w:left="3960" w:hanging="360"/>
      </w:pPr>
    </w:lvl>
    <w:lvl w:ilvl="5" w:tplc="041A0005">
      <w:start w:val="1"/>
      <w:numFmt w:val="decimal"/>
      <w:lvlText w:val="%6."/>
      <w:lvlJc w:val="left"/>
      <w:pPr>
        <w:tabs>
          <w:tab w:val="num" w:pos="4680"/>
        </w:tabs>
        <w:ind w:left="4680" w:hanging="360"/>
      </w:pPr>
    </w:lvl>
    <w:lvl w:ilvl="6" w:tplc="041A0001">
      <w:start w:val="1"/>
      <w:numFmt w:val="decimal"/>
      <w:lvlText w:val="%7."/>
      <w:lvlJc w:val="left"/>
      <w:pPr>
        <w:tabs>
          <w:tab w:val="num" w:pos="5400"/>
        </w:tabs>
        <w:ind w:left="5400" w:hanging="360"/>
      </w:pPr>
    </w:lvl>
    <w:lvl w:ilvl="7" w:tplc="041A0003">
      <w:start w:val="1"/>
      <w:numFmt w:val="decimal"/>
      <w:lvlText w:val="%8."/>
      <w:lvlJc w:val="left"/>
      <w:pPr>
        <w:tabs>
          <w:tab w:val="num" w:pos="6120"/>
        </w:tabs>
        <w:ind w:left="6120" w:hanging="360"/>
      </w:pPr>
    </w:lvl>
    <w:lvl w:ilvl="8" w:tplc="041A0005">
      <w:start w:val="1"/>
      <w:numFmt w:val="decimal"/>
      <w:lvlText w:val="%9."/>
      <w:lvlJc w:val="left"/>
      <w:pPr>
        <w:tabs>
          <w:tab w:val="num" w:pos="6840"/>
        </w:tabs>
        <w:ind w:left="6840" w:hanging="360"/>
      </w:pPr>
    </w:lvl>
  </w:abstractNum>
  <w:abstractNum w:abstractNumId="4" w15:restartNumberingAfterBreak="0">
    <w:nsid w:val="14007BA4"/>
    <w:multiLevelType w:val="hybridMultilevel"/>
    <w:tmpl w:val="50BEF41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6"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7" w15:restartNumberingAfterBreak="0">
    <w:nsid w:val="213E0F62"/>
    <w:multiLevelType w:val="hybridMultilevel"/>
    <w:tmpl w:val="FEFE1F6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9"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10" w15:restartNumberingAfterBreak="0">
    <w:nsid w:val="33C012BB"/>
    <w:multiLevelType w:val="hybridMultilevel"/>
    <w:tmpl w:val="70C84B28"/>
    <w:lvl w:ilvl="0" w:tplc="47F28C86">
      <w:numFmt w:val="bullet"/>
      <w:lvlText w:val="-"/>
      <w:lvlJc w:val="left"/>
      <w:pPr>
        <w:ind w:left="1080" w:hanging="72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BE87C92"/>
    <w:multiLevelType w:val="hybridMultilevel"/>
    <w:tmpl w:val="91E47DCA"/>
    <w:lvl w:ilvl="0" w:tplc="310E2CF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13" w15:restartNumberingAfterBreak="0">
    <w:nsid w:val="482C78C6"/>
    <w:multiLevelType w:val="hybridMultilevel"/>
    <w:tmpl w:val="2AA6B1D0"/>
    <w:lvl w:ilvl="0" w:tplc="177EAA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8A536E1"/>
    <w:multiLevelType w:val="hybridMultilevel"/>
    <w:tmpl w:val="01B61A42"/>
    <w:lvl w:ilvl="0" w:tplc="6D54ABF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16"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5EFD570D"/>
    <w:multiLevelType w:val="hybridMultilevel"/>
    <w:tmpl w:val="7752E47A"/>
    <w:lvl w:ilvl="0" w:tplc="D4425E5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19" w15:restartNumberingAfterBreak="0">
    <w:nsid w:val="6EFD3650"/>
    <w:multiLevelType w:val="multilevel"/>
    <w:tmpl w:val="6B0066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4E37E3"/>
    <w:multiLevelType w:val="hybridMultilevel"/>
    <w:tmpl w:val="D6BA2532"/>
    <w:lvl w:ilvl="0" w:tplc="177EAA24">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22" w15:restartNumberingAfterBreak="0">
    <w:nsid w:val="7F3E3FAB"/>
    <w:multiLevelType w:val="hybridMultilevel"/>
    <w:tmpl w:val="365E0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2"/>
  </w:num>
  <w:num w:numId="4">
    <w:abstractNumId w:val="6"/>
  </w:num>
  <w:num w:numId="5">
    <w:abstractNumId w:val="8"/>
  </w:num>
  <w:num w:numId="6">
    <w:abstractNumId w:val="15"/>
  </w:num>
  <w:num w:numId="7">
    <w:abstractNumId w:val="1"/>
  </w:num>
  <w:num w:numId="8">
    <w:abstractNumId w:val="9"/>
  </w:num>
  <w:num w:numId="9">
    <w:abstractNumId w:val="21"/>
  </w:num>
  <w:num w:numId="10">
    <w:abstractNumId w:val="16"/>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4"/>
  </w:num>
  <w:num w:numId="15">
    <w:abstractNumId w:val="11"/>
  </w:num>
  <w:num w:numId="16">
    <w:abstractNumId w:val="17"/>
  </w:num>
  <w:num w:numId="17">
    <w:abstractNumId w:val="20"/>
  </w:num>
  <w:num w:numId="18">
    <w:abstractNumId w:val="13"/>
  </w:num>
  <w:num w:numId="19">
    <w:abstractNumId w:val="19"/>
  </w:num>
  <w:num w:numId="20">
    <w:abstractNumId w:val="7"/>
  </w:num>
  <w:num w:numId="21">
    <w:abstractNumId w:val="4"/>
  </w:num>
  <w:num w:numId="22">
    <w:abstractNumId w:val="10"/>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3B"/>
    <w:rsid w:val="00007147"/>
    <w:rsid w:val="00016643"/>
    <w:rsid w:val="000309A9"/>
    <w:rsid w:val="0003581F"/>
    <w:rsid w:val="00035CDB"/>
    <w:rsid w:val="000422FF"/>
    <w:rsid w:val="00047195"/>
    <w:rsid w:val="000522F0"/>
    <w:rsid w:val="000609D5"/>
    <w:rsid w:val="000611CA"/>
    <w:rsid w:val="000639D4"/>
    <w:rsid w:val="00067851"/>
    <w:rsid w:val="00085B2A"/>
    <w:rsid w:val="00087EF8"/>
    <w:rsid w:val="00091EF1"/>
    <w:rsid w:val="00092342"/>
    <w:rsid w:val="00093635"/>
    <w:rsid w:val="000A1BDA"/>
    <w:rsid w:val="000B162E"/>
    <w:rsid w:val="000B2A63"/>
    <w:rsid w:val="000B2DAD"/>
    <w:rsid w:val="000B62E9"/>
    <w:rsid w:val="000C59AE"/>
    <w:rsid w:val="000C784D"/>
    <w:rsid w:val="000E4575"/>
    <w:rsid w:val="000E6615"/>
    <w:rsid w:val="000E6E85"/>
    <w:rsid w:val="000F78CE"/>
    <w:rsid w:val="0011000E"/>
    <w:rsid w:val="00111228"/>
    <w:rsid w:val="00111362"/>
    <w:rsid w:val="001224D2"/>
    <w:rsid w:val="001232A5"/>
    <w:rsid w:val="00125F28"/>
    <w:rsid w:val="001323B0"/>
    <w:rsid w:val="001478E8"/>
    <w:rsid w:val="001513EB"/>
    <w:rsid w:val="00152A47"/>
    <w:rsid w:val="001531AC"/>
    <w:rsid w:val="00153CE4"/>
    <w:rsid w:val="00154846"/>
    <w:rsid w:val="00157AA8"/>
    <w:rsid w:val="00164A62"/>
    <w:rsid w:val="00165B52"/>
    <w:rsid w:val="00165E09"/>
    <w:rsid w:val="001706F8"/>
    <w:rsid w:val="001710B5"/>
    <w:rsid w:val="00176AC8"/>
    <w:rsid w:val="00181BDC"/>
    <w:rsid w:val="0019029D"/>
    <w:rsid w:val="00192EC1"/>
    <w:rsid w:val="001A624F"/>
    <w:rsid w:val="001B0BC0"/>
    <w:rsid w:val="001B5E12"/>
    <w:rsid w:val="001B6EA0"/>
    <w:rsid w:val="001C18DF"/>
    <w:rsid w:val="001D30B3"/>
    <w:rsid w:val="001E0EC8"/>
    <w:rsid w:val="001E2875"/>
    <w:rsid w:val="001F06B8"/>
    <w:rsid w:val="001F0C51"/>
    <w:rsid w:val="001F1036"/>
    <w:rsid w:val="001F13F8"/>
    <w:rsid w:val="001F25D0"/>
    <w:rsid w:val="001F3978"/>
    <w:rsid w:val="001F74F0"/>
    <w:rsid w:val="0020215D"/>
    <w:rsid w:val="002103BD"/>
    <w:rsid w:val="00210CF9"/>
    <w:rsid w:val="002140AF"/>
    <w:rsid w:val="0021700D"/>
    <w:rsid w:val="00217030"/>
    <w:rsid w:val="0022045E"/>
    <w:rsid w:val="002222E5"/>
    <w:rsid w:val="002235A0"/>
    <w:rsid w:val="002243F5"/>
    <w:rsid w:val="00233EAA"/>
    <w:rsid w:val="00237A73"/>
    <w:rsid w:val="00237C0C"/>
    <w:rsid w:val="0024581C"/>
    <w:rsid w:val="002458ED"/>
    <w:rsid w:val="00252D97"/>
    <w:rsid w:val="00262673"/>
    <w:rsid w:val="00263753"/>
    <w:rsid w:val="00264301"/>
    <w:rsid w:val="0027438E"/>
    <w:rsid w:val="00286A97"/>
    <w:rsid w:val="002930CC"/>
    <w:rsid w:val="0029544D"/>
    <w:rsid w:val="002A21BB"/>
    <w:rsid w:val="002A28D6"/>
    <w:rsid w:val="002A6E07"/>
    <w:rsid w:val="002B4B59"/>
    <w:rsid w:val="002C4873"/>
    <w:rsid w:val="002D5EBB"/>
    <w:rsid w:val="002E1287"/>
    <w:rsid w:val="002F2DCA"/>
    <w:rsid w:val="002F3ADF"/>
    <w:rsid w:val="00302490"/>
    <w:rsid w:val="00307C0A"/>
    <w:rsid w:val="0031077B"/>
    <w:rsid w:val="00313444"/>
    <w:rsid w:val="00316841"/>
    <w:rsid w:val="00316DC5"/>
    <w:rsid w:val="00334D1A"/>
    <w:rsid w:val="0033616D"/>
    <w:rsid w:val="00340DDA"/>
    <w:rsid w:val="003457D0"/>
    <w:rsid w:val="00345E6B"/>
    <w:rsid w:val="00346D39"/>
    <w:rsid w:val="00347F0D"/>
    <w:rsid w:val="00351E85"/>
    <w:rsid w:val="003533C1"/>
    <w:rsid w:val="00356F71"/>
    <w:rsid w:val="00357D1F"/>
    <w:rsid w:val="003635D0"/>
    <w:rsid w:val="003635ED"/>
    <w:rsid w:val="00363AAA"/>
    <w:rsid w:val="00363EA7"/>
    <w:rsid w:val="00372202"/>
    <w:rsid w:val="00374F9F"/>
    <w:rsid w:val="00387102"/>
    <w:rsid w:val="00390776"/>
    <w:rsid w:val="00394E2A"/>
    <w:rsid w:val="003B66BD"/>
    <w:rsid w:val="003C6DDF"/>
    <w:rsid w:val="003D3DA3"/>
    <w:rsid w:val="003D47C9"/>
    <w:rsid w:val="003D687C"/>
    <w:rsid w:val="003E37BB"/>
    <w:rsid w:val="003E56DF"/>
    <w:rsid w:val="003F1149"/>
    <w:rsid w:val="003F1282"/>
    <w:rsid w:val="003F1286"/>
    <w:rsid w:val="004278B5"/>
    <w:rsid w:val="004311AB"/>
    <w:rsid w:val="00432156"/>
    <w:rsid w:val="004378C7"/>
    <w:rsid w:val="00441FE4"/>
    <w:rsid w:val="00443A35"/>
    <w:rsid w:val="004453E7"/>
    <w:rsid w:val="00451C52"/>
    <w:rsid w:val="004552D9"/>
    <w:rsid w:val="004627CC"/>
    <w:rsid w:val="004641EE"/>
    <w:rsid w:val="0047517D"/>
    <w:rsid w:val="00475744"/>
    <w:rsid w:val="00486FB8"/>
    <w:rsid w:val="00492EEC"/>
    <w:rsid w:val="004A2CFA"/>
    <w:rsid w:val="004A396E"/>
    <w:rsid w:val="004B0391"/>
    <w:rsid w:val="004B167A"/>
    <w:rsid w:val="004B2AC6"/>
    <w:rsid w:val="004C1743"/>
    <w:rsid w:val="004C27B0"/>
    <w:rsid w:val="004D0D3D"/>
    <w:rsid w:val="004D4F05"/>
    <w:rsid w:val="004D5ACA"/>
    <w:rsid w:val="004D5E09"/>
    <w:rsid w:val="004E4138"/>
    <w:rsid w:val="004E5C1E"/>
    <w:rsid w:val="004E7155"/>
    <w:rsid w:val="004F13C2"/>
    <w:rsid w:val="004F5284"/>
    <w:rsid w:val="004F7B04"/>
    <w:rsid w:val="00500E0A"/>
    <w:rsid w:val="00500E6F"/>
    <w:rsid w:val="005033B6"/>
    <w:rsid w:val="0050377F"/>
    <w:rsid w:val="0050740E"/>
    <w:rsid w:val="00513AAB"/>
    <w:rsid w:val="005169D7"/>
    <w:rsid w:val="005179B3"/>
    <w:rsid w:val="00521693"/>
    <w:rsid w:val="005225AD"/>
    <w:rsid w:val="00522836"/>
    <w:rsid w:val="0053370A"/>
    <w:rsid w:val="00533D20"/>
    <w:rsid w:val="00536613"/>
    <w:rsid w:val="00540D32"/>
    <w:rsid w:val="0055421E"/>
    <w:rsid w:val="00561674"/>
    <w:rsid w:val="0057127F"/>
    <w:rsid w:val="0057474E"/>
    <w:rsid w:val="00574E9F"/>
    <w:rsid w:val="00576D45"/>
    <w:rsid w:val="005817FE"/>
    <w:rsid w:val="005819AB"/>
    <w:rsid w:val="0059663F"/>
    <w:rsid w:val="00597115"/>
    <w:rsid w:val="005A34D2"/>
    <w:rsid w:val="005B74E0"/>
    <w:rsid w:val="005C16AA"/>
    <w:rsid w:val="005D1169"/>
    <w:rsid w:val="005D1DB5"/>
    <w:rsid w:val="005D699E"/>
    <w:rsid w:val="005D6BD3"/>
    <w:rsid w:val="005E30D8"/>
    <w:rsid w:val="005E3CC8"/>
    <w:rsid w:val="005E5E80"/>
    <w:rsid w:val="00601357"/>
    <w:rsid w:val="00602589"/>
    <w:rsid w:val="0060634F"/>
    <w:rsid w:val="006105BE"/>
    <w:rsid w:val="006156BA"/>
    <w:rsid w:val="006164E2"/>
    <w:rsid w:val="0062604E"/>
    <w:rsid w:val="00626B33"/>
    <w:rsid w:val="006330A7"/>
    <w:rsid w:val="00633852"/>
    <w:rsid w:val="006352A4"/>
    <w:rsid w:val="006375EB"/>
    <w:rsid w:val="006402AD"/>
    <w:rsid w:val="00651787"/>
    <w:rsid w:val="00652268"/>
    <w:rsid w:val="00652E70"/>
    <w:rsid w:val="00652FD5"/>
    <w:rsid w:val="00657065"/>
    <w:rsid w:val="00657EDC"/>
    <w:rsid w:val="006650DE"/>
    <w:rsid w:val="0067072F"/>
    <w:rsid w:val="00672625"/>
    <w:rsid w:val="00680F4C"/>
    <w:rsid w:val="006819F4"/>
    <w:rsid w:val="00685EF7"/>
    <w:rsid w:val="00692DC1"/>
    <w:rsid w:val="00697713"/>
    <w:rsid w:val="006A10CA"/>
    <w:rsid w:val="006A7A26"/>
    <w:rsid w:val="006B1AE7"/>
    <w:rsid w:val="006C2BD5"/>
    <w:rsid w:val="006D0465"/>
    <w:rsid w:val="006D0ABA"/>
    <w:rsid w:val="006D0BF9"/>
    <w:rsid w:val="006D2D0A"/>
    <w:rsid w:val="006D6AB3"/>
    <w:rsid w:val="006D78DE"/>
    <w:rsid w:val="006E17C7"/>
    <w:rsid w:val="00714A58"/>
    <w:rsid w:val="00721A86"/>
    <w:rsid w:val="00722844"/>
    <w:rsid w:val="00727077"/>
    <w:rsid w:val="00734E11"/>
    <w:rsid w:val="00741D4B"/>
    <w:rsid w:val="00741FFD"/>
    <w:rsid w:val="007638CD"/>
    <w:rsid w:val="00766386"/>
    <w:rsid w:val="00770C05"/>
    <w:rsid w:val="0077145B"/>
    <w:rsid w:val="00771EAF"/>
    <w:rsid w:val="007808A0"/>
    <w:rsid w:val="00781349"/>
    <w:rsid w:val="00781F40"/>
    <w:rsid w:val="0078746E"/>
    <w:rsid w:val="00796425"/>
    <w:rsid w:val="007A32D0"/>
    <w:rsid w:val="007A4F5B"/>
    <w:rsid w:val="007A66FE"/>
    <w:rsid w:val="007B6563"/>
    <w:rsid w:val="007C5947"/>
    <w:rsid w:val="007C6D6B"/>
    <w:rsid w:val="007D15A2"/>
    <w:rsid w:val="007D22B1"/>
    <w:rsid w:val="007E3A23"/>
    <w:rsid w:val="007E4E4B"/>
    <w:rsid w:val="007E4FF0"/>
    <w:rsid w:val="007F0A5B"/>
    <w:rsid w:val="007F1825"/>
    <w:rsid w:val="007F1F3B"/>
    <w:rsid w:val="007F2985"/>
    <w:rsid w:val="00802D2E"/>
    <w:rsid w:val="00804A1A"/>
    <w:rsid w:val="00805FEF"/>
    <w:rsid w:val="00805FF1"/>
    <w:rsid w:val="00810CD1"/>
    <w:rsid w:val="008252CF"/>
    <w:rsid w:val="008361F5"/>
    <w:rsid w:val="00837283"/>
    <w:rsid w:val="00840A6B"/>
    <w:rsid w:val="0084334C"/>
    <w:rsid w:val="00852923"/>
    <w:rsid w:val="00862EB0"/>
    <w:rsid w:val="00870CFA"/>
    <w:rsid w:val="00880596"/>
    <w:rsid w:val="00881930"/>
    <w:rsid w:val="0089705D"/>
    <w:rsid w:val="008A1A65"/>
    <w:rsid w:val="008B0910"/>
    <w:rsid w:val="008B7577"/>
    <w:rsid w:val="008C3710"/>
    <w:rsid w:val="008C41ED"/>
    <w:rsid w:val="008C4E80"/>
    <w:rsid w:val="008C5040"/>
    <w:rsid w:val="008D1CFB"/>
    <w:rsid w:val="008D554D"/>
    <w:rsid w:val="008D7059"/>
    <w:rsid w:val="008D7C93"/>
    <w:rsid w:val="008D7FD2"/>
    <w:rsid w:val="008E4389"/>
    <w:rsid w:val="008F2052"/>
    <w:rsid w:val="008F3222"/>
    <w:rsid w:val="00901232"/>
    <w:rsid w:val="00903E26"/>
    <w:rsid w:val="00904A71"/>
    <w:rsid w:val="00906502"/>
    <w:rsid w:val="00910E38"/>
    <w:rsid w:val="009161AD"/>
    <w:rsid w:val="00916544"/>
    <w:rsid w:val="00917EF8"/>
    <w:rsid w:val="00931206"/>
    <w:rsid w:val="00934A87"/>
    <w:rsid w:val="009353A1"/>
    <w:rsid w:val="00940B50"/>
    <w:rsid w:val="0094561A"/>
    <w:rsid w:val="00947348"/>
    <w:rsid w:val="009556F1"/>
    <w:rsid w:val="00963027"/>
    <w:rsid w:val="00964AB8"/>
    <w:rsid w:val="00967693"/>
    <w:rsid w:val="00970648"/>
    <w:rsid w:val="00971AE9"/>
    <w:rsid w:val="0097251A"/>
    <w:rsid w:val="009763C1"/>
    <w:rsid w:val="00980D76"/>
    <w:rsid w:val="00981F3F"/>
    <w:rsid w:val="00987132"/>
    <w:rsid w:val="00987EA8"/>
    <w:rsid w:val="0099354D"/>
    <w:rsid w:val="009958CD"/>
    <w:rsid w:val="009969D9"/>
    <w:rsid w:val="0099739C"/>
    <w:rsid w:val="009A0438"/>
    <w:rsid w:val="009A0585"/>
    <w:rsid w:val="009B4D43"/>
    <w:rsid w:val="009B53F2"/>
    <w:rsid w:val="009B789F"/>
    <w:rsid w:val="009C172B"/>
    <w:rsid w:val="009C3BE7"/>
    <w:rsid w:val="009C79B8"/>
    <w:rsid w:val="009D5378"/>
    <w:rsid w:val="009D6166"/>
    <w:rsid w:val="009E4E7D"/>
    <w:rsid w:val="009F2150"/>
    <w:rsid w:val="009F435C"/>
    <w:rsid w:val="009F5977"/>
    <w:rsid w:val="00A0475C"/>
    <w:rsid w:val="00A04C41"/>
    <w:rsid w:val="00A04E98"/>
    <w:rsid w:val="00A05764"/>
    <w:rsid w:val="00A069A8"/>
    <w:rsid w:val="00A12CFB"/>
    <w:rsid w:val="00A1572C"/>
    <w:rsid w:val="00A15C16"/>
    <w:rsid w:val="00A458C6"/>
    <w:rsid w:val="00A4742F"/>
    <w:rsid w:val="00A565DA"/>
    <w:rsid w:val="00A61538"/>
    <w:rsid w:val="00A65EE8"/>
    <w:rsid w:val="00A7113B"/>
    <w:rsid w:val="00A73050"/>
    <w:rsid w:val="00A74F86"/>
    <w:rsid w:val="00A75B74"/>
    <w:rsid w:val="00A77450"/>
    <w:rsid w:val="00A83989"/>
    <w:rsid w:val="00A8567A"/>
    <w:rsid w:val="00A87B96"/>
    <w:rsid w:val="00A91C07"/>
    <w:rsid w:val="00A94902"/>
    <w:rsid w:val="00A96153"/>
    <w:rsid w:val="00A97F7F"/>
    <w:rsid w:val="00AA0F96"/>
    <w:rsid w:val="00AA303D"/>
    <w:rsid w:val="00AA3C57"/>
    <w:rsid w:val="00AA4DE4"/>
    <w:rsid w:val="00AB204B"/>
    <w:rsid w:val="00AB31FA"/>
    <w:rsid w:val="00AB7A6E"/>
    <w:rsid w:val="00AC39FE"/>
    <w:rsid w:val="00AC4B4C"/>
    <w:rsid w:val="00AC5A62"/>
    <w:rsid w:val="00AC73DF"/>
    <w:rsid w:val="00AD2502"/>
    <w:rsid w:val="00AE235A"/>
    <w:rsid w:val="00AE3E80"/>
    <w:rsid w:val="00AF4C17"/>
    <w:rsid w:val="00B00A46"/>
    <w:rsid w:val="00B02C8D"/>
    <w:rsid w:val="00B05097"/>
    <w:rsid w:val="00B057B8"/>
    <w:rsid w:val="00B16D3F"/>
    <w:rsid w:val="00B234DE"/>
    <w:rsid w:val="00B27E37"/>
    <w:rsid w:val="00B43B25"/>
    <w:rsid w:val="00B45588"/>
    <w:rsid w:val="00B5025A"/>
    <w:rsid w:val="00B513A3"/>
    <w:rsid w:val="00B52393"/>
    <w:rsid w:val="00B546F0"/>
    <w:rsid w:val="00B559EB"/>
    <w:rsid w:val="00B613C1"/>
    <w:rsid w:val="00B623BB"/>
    <w:rsid w:val="00B63A10"/>
    <w:rsid w:val="00B63DD7"/>
    <w:rsid w:val="00B66677"/>
    <w:rsid w:val="00B67BB7"/>
    <w:rsid w:val="00B83035"/>
    <w:rsid w:val="00B8419A"/>
    <w:rsid w:val="00B86D92"/>
    <w:rsid w:val="00B92808"/>
    <w:rsid w:val="00B962D1"/>
    <w:rsid w:val="00BA2AB6"/>
    <w:rsid w:val="00BA696B"/>
    <w:rsid w:val="00BB0050"/>
    <w:rsid w:val="00BB0183"/>
    <w:rsid w:val="00BB22A0"/>
    <w:rsid w:val="00BD3816"/>
    <w:rsid w:val="00BE153C"/>
    <w:rsid w:val="00BE1A11"/>
    <w:rsid w:val="00BE422A"/>
    <w:rsid w:val="00BF192E"/>
    <w:rsid w:val="00BF5FB2"/>
    <w:rsid w:val="00C04D56"/>
    <w:rsid w:val="00C101E1"/>
    <w:rsid w:val="00C10DD0"/>
    <w:rsid w:val="00C1596A"/>
    <w:rsid w:val="00C17995"/>
    <w:rsid w:val="00C236A9"/>
    <w:rsid w:val="00C25E82"/>
    <w:rsid w:val="00C2704C"/>
    <w:rsid w:val="00C4040D"/>
    <w:rsid w:val="00C437B0"/>
    <w:rsid w:val="00C50A82"/>
    <w:rsid w:val="00C55685"/>
    <w:rsid w:val="00C56633"/>
    <w:rsid w:val="00C576A3"/>
    <w:rsid w:val="00C61109"/>
    <w:rsid w:val="00C70DDF"/>
    <w:rsid w:val="00C74643"/>
    <w:rsid w:val="00C75FE3"/>
    <w:rsid w:val="00C7759A"/>
    <w:rsid w:val="00C930A1"/>
    <w:rsid w:val="00C961B0"/>
    <w:rsid w:val="00CA063D"/>
    <w:rsid w:val="00CA3339"/>
    <w:rsid w:val="00CA74BE"/>
    <w:rsid w:val="00CB3FAF"/>
    <w:rsid w:val="00CB58ED"/>
    <w:rsid w:val="00CB6554"/>
    <w:rsid w:val="00CB7FAC"/>
    <w:rsid w:val="00CC186C"/>
    <w:rsid w:val="00CC2F05"/>
    <w:rsid w:val="00CC38FD"/>
    <w:rsid w:val="00CC5183"/>
    <w:rsid w:val="00CD1990"/>
    <w:rsid w:val="00CD2544"/>
    <w:rsid w:val="00CD2BA6"/>
    <w:rsid w:val="00CD54E1"/>
    <w:rsid w:val="00CD6453"/>
    <w:rsid w:val="00CE05EB"/>
    <w:rsid w:val="00CE0935"/>
    <w:rsid w:val="00CE56B7"/>
    <w:rsid w:val="00CE5DE4"/>
    <w:rsid w:val="00CE68D2"/>
    <w:rsid w:val="00CE6E06"/>
    <w:rsid w:val="00CE78F2"/>
    <w:rsid w:val="00CF13B3"/>
    <w:rsid w:val="00D0121D"/>
    <w:rsid w:val="00D01528"/>
    <w:rsid w:val="00D1060E"/>
    <w:rsid w:val="00D124A3"/>
    <w:rsid w:val="00D14DF4"/>
    <w:rsid w:val="00D233E9"/>
    <w:rsid w:val="00D31BF0"/>
    <w:rsid w:val="00D36EB9"/>
    <w:rsid w:val="00D4004C"/>
    <w:rsid w:val="00D42A5A"/>
    <w:rsid w:val="00D47776"/>
    <w:rsid w:val="00D53325"/>
    <w:rsid w:val="00D63BCB"/>
    <w:rsid w:val="00D7587B"/>
    <w:rsid w:val="00D75E85"/>
    <w:rsid w:val="00D8028A"/>
    <w:rsid w:val="00D811BF"/>
    <w:rsid w:val="00D81B95"/>
    <w:rsid w:val="00D85D3E"/>
    <w:rsid w:val="00D9492D"/>
    <w:rsid w:val="00DA18FE"/>
    <w:rsid w:val="00DA1B08"/>
    <w:rsid w:val="00DA39C8"/>
    <w:rsid w:val="00DA6849"/>
    <w:rsid w:val="00DA7609"/>
    <w:rsid w:val="00DB243F"/>
    <w:rsid w:val="00DB50C8"/>
    <w:rsid w:val="00DD678B"/>
    <w:rsid w:val="00DD7F69"/>
    <w:rsid w:val="00DE1A31"/>
    <w:rsid w:val="00DE5597"/>
    <w:rsid w:val="00DF31F5"/>
    <w:rsid w:val="00DF446C"/>
    <w:rsid w:val="00DF7A4A"/>
    <w:rsid w:val="00DF7D4B"/>
    <w:rsid w:val="00E0348C"/>
    <w:rsid w:val="00E0353D"/>
    <w:rsid w:val="00E07E2A"/>
    <w:rsid w:val="00E16E5C"/>
    <w:rsid w:val="00E31C42"/>
    <w:rsid w:val="00E35178"/>
    <w:rsid w:val="00E40D45"/>
    <w:rsid w:val="00E4330F"/>
    <w:rsid w:val="00E479A9"/>
    <w:rsid w:val="00E564F7"/>
    <w:rsid w:val="00E60E35"/>
    <w:rsid w:val="00E661F0"/>
    <w:rsid w:val="00E7291C"/>
    <w:rsid w:val="00E730AB"/>
    <w:rsid w:val="00E75F8E"/>
    <w:rsid w:val="00E7649B"/>
    <w:rsid w:val="00E776C5"/>
    <w:rsid w:val="00E82977"/>
    <w:rsid w:val="00E84EB3"/>
    <w:rsid w:val="00E86989"/>
    <w:rsid w:val="00E870B6"/>
    <w:rsid w:val="00E90727"/>
    <w:rsid w:val="00E94CB0"/>
    <w:rsid w:val="00E9578D"/>
    <w:rsid w:val="00EA1FF9"/>
    <w:rsid w:val="00EA4792"/>
    <w:rsid w:val="00EA480B"/>
    <w:rsid w:val="00EA50A9"/>
    <w:rsid w:val="00EA79BB"/>
    <w:rsid w:val="00EB1CC1"/>
    <w:rsid w:val="00EB21B7"/>
    <w:rsid w:val="00EC1E08"/>
    <w:rsid w:val="00EC2D5B"/>
    <w:rsid w:val="00EC61D8"/>
    <w:rsid w:val="00EC621B"/>
    <w:rsid w:val="00EC79B4"/>
    <w:rsid w:val="00EC7ECB"/>
    <w:rsid w:val="00ED191B"/>
    <w:rsid w:val="00ED6526"/>
    <w:rsid w:val="00EE19CD"/>
    <w:rsid w:val="00EF2143"/>
    <w:rsid w:val="00EF4C4C"/>
    <w:rsid w:val="00EF6F7C"/>
    <w:rsid w:val="00EF7EE9"/>
    <w:rsid w:val="00F0569A"/>
    <w:rsid w:val="00F166F6"/>
    <w:rsid w:val="00F230A2"/>
    <w:rsid w:val="00F31E4E"/>
    <w:rsid w:val="00F32F9A"/>
    <w:rsid w:val="00F36E77"/>
    <w:rsid w:val="00F42B22"/>
    <w:rsid w:val="00F5612B"/>
    <w:rsid w:val="00F60FAB"/>
    <w:rsid w:val="00F63EAF"/>
    <w:rsid w:val="00F77FFC"/>
    <w:rsid w:val="00F87121"/>
    <w:rsid w:val="00F92386"/>
    <w:rsid w:val="00FA29CE"/>
    <w:rsid w:val="00FA4266"/>
    <w:rsid w:val="00FA6173"/>
    <w:rsid w:val="00FB6255"/>
    <w:rsid w:val="00FB6A45"/>
    <w:rsid w:val="00FC6174"/>
    <w:rsid w:val="00FC6183"/>
    <w:rsid w:val="00FC6CF8"/>
    <w:rsid w:val="00FC7A65"/>
    <w:rsid w:val="00FF134C"/>
    <w:rsid w:val="00FF19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B690"/>
  <w15:chartTrackingRefBased/>
  <w15:docId w15:val="{714BFD24-8475-412A-B2E4-0354AAFB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23"/>
    <w:rPr>
      <w:sz w:val="24"/>
      <w:szCs w:val="24"/>
    </w:rPr>
  </w:style>
  <w:style w:type="paragraph" w:styleId="Naslov4">
    <w:name w:val="heading 4"/>
    <w:basedOn w:val="Normal"/>
    <w:next w:val="Normal"/>
    <w:link w:val="Naslov4Char"/>
    <w:semiHidden/>
    <w:unhideWhenUsed/>
    <w:qFormat/>
    <w:rsid w:val="007E3A23"/>
    <w:pPr>
      <w:keepNext/>
      <w:spacing w:before="240" w:after="60"/>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customStyle="1" w:styleId="ZaglavljeChar">
    <w:name w:val="Zaglavlje Char"/>
    <w:basedOn w:val="Zadanifontodlomka"/>
    <w:link w:val="Zaglavlje"/>
    <w:uiPriority w:val="99"/>
    <w:rsid w:val="007E3A23"/>
    <w:rPr>
      <w:sz w:val="24"/>
    </w:r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character" w:customStyle="1" w:styleId="PodnojeChar">
    <w:name w:val="Podnožje Char"/>
    <w:basedOn w:val="Zadanifontodlomka"/>
    <w:link w:val="Podnoje"/>
    <w:uiPriority w:val="99"/>
    <w:rsid w:val="007E3A23"/>
    <w:rPr>
      <w:sz w:val="24"/>
    </w:rPr>
  </w:style>
  <w:style w:type="character" w:customStyle="1" w:styleId="Naslov4Char">
    <w:name w:val="Naslov 4 Char"/>
    <w:basedOn w:val="Zadanifontodlomka"/>
    <w:link w:val="Naslov4"/>
    <w:semiHidden/>
    <w:rsid w:val="007E3A23"/>
    <w:rPr>
      <w:b/>
      <w:bCs/>
      <w:sz w:val="28"/>
      <w:szCs w:val="28"/>
    </w:rPr>
  </w:style>
  <w:style w:type="paragraph" w:customStyle="1" w:styleId="msonormal0">
    <w:name w:val="msonormal"/>
    <w:basedOn w:val="Normal"/>
    <w:rsid w:val="007E3A23"/>
    <w:pPr>
      <w:spacing w:before="100" w:beforeAutospacing="1" w:after="100" w:afterAutospacing="1"/>
    </w:pPr>
  </w:style>
  <w:style w:type="paragraph" w:styleId="Naslov">
    <w:name w:val="Title"/>
    <w:basedOn w:val="Normal"/>
    <w:link w:val="NaslovChar"/>
    <w:qFormat/>
    <w:rsid w:val="007E3A23"/>
    <w:pPr>
      <w:jc w:val="center"/>
    </w:pPr>
    <w:rPr>
      <w:sz w:val="36"/>
      <w:lang w:eastAsia="en-US"/>
    </w:rPr>
  </w:style>
  <w:style w:type="character" w:customStyle="1" w:styleId="NaslovChar">
    <w:name w:val="Naslov Char"/>
    <w:basedOn w:val="Zadanifontodlomka"/>
    <w:link w:val="Naslov"/>
    <w:rsid w:val="007E3A23"/>
    <w:rPr>
      <w:sz w:val="36"/>
      <w:szCs w:val="24"/>
      <w:lang w:eastAsia="en-US"/>
    </w:rPr>
  </w:style>
  <w:style w:type="character" w:customStyle="1" w:styleId="Tijeloteksta3Char">
    <w:name w:val="Tijelo teksta 3 Char"/>
    <w:basedOn w:val="Zadanifontodlomka"/>
    <w:link w:val="Tijeloteksta3"/>
    <w:semiHidden/>
    <w:rsid w:val="007E3A23"/>
    <w:rPr>
      <w:sz w:val="22"/>
      <w:szCs w:val="24"/>
    </w:rPr>
  </w:style>
  <w:style w:type="paragraph" w:styleId="Tijeloteksta3">
    <w:name w:val="Body Text 3"/>
    <w:basedOn w:val="Normal"/>
    <w:link w:val="Tijeloteksta3Char"/>
    <w:semiHidden/>
    <w:unhideWhenUsed/>
    <w:rsid w:val="007E3A23"/>
    <w:pPr>
      <w:jc w:val="both"/>
    </w:pPr>
    <w:rPr>
      <w:sz w:val="22"/>
    </w:rPr>
  </w:style>
  <w:style w:type="character" w:customStyle="1" w:styleId="ObinitekstChar">
    <w:name w:val="Obični tekst Char"/>
    <w:basedOn w:val="Zadanifontodlomka"/>
    <w:link w:val="Obinitekst"/>
    <w:uiPriority w:val="99"/>
    <w:semiHidden/>
    <w:rsid w:val="007E3A23"/>
    <w:rPr>
      <w:rFonts w:ascii="Arial" w:hAnsi="Arial" w:cs="Arial"/>
    </w:rPr>
  </w:style>
  <w:style w:type="paragraph" w:styleId="Obinitekst">
    <w:name w:val="Plain Text"/>
    <w:basedOn w:val="Normal"/>
    <w:link w:val="ObinitekstChar"/>
    <w:uiPriority w:val="99"/>
    <w:semiHidden/>
    <w:unhideWhenUsed/>
    <w:rsid w:val="007E3A23"/>
    <w:rPr>
      <w:rFonts w:ascii="Arial" w:hAnsi="Arial" w:cs="Arial"/>
      <w:sz w:val="20"/>
      <w:szCs w:val="20"/>
    </w:rPr>
  </w:style>
  <w:style w:type="character" w:customStyle="1" w:styleId="TekstbaloniaChar">
    <w:name w:val="Tekst balončića Char"/>
    <w:basedOn w:val="Zadanifontodlomka"/>
    <w:link w:val="Tekstbalonia"/>
    <w:semiHidden/>
    <w:rsid w:val="007E3A23"/>
    <w:rPr>
      <w:rFonts w:ascii="Tahoma" w:hAnsi="Tahoma" w:cs="Tahoma"/>
      <w:sz w:val="16"/>
      <w:szCs w:val="16"/>
    </w:rPr>
  </w:style>
  <w:style w:type="paragraph" w:styleId="Tekstbalonia">
    <w:name w:val="Balloon Text"/>
    <w:basedOn w:val="Normal"/>
    <w:link w:val="TekstbaloniaChar"/>
    <w:semiHidden/>
    <w:unhideWhenUsed/>
    <w:rsid w:val="007E3A23"/>
    <w:rPr>
      <w:rFonts w:ascii="Tahoma" w:hAnsi="Tahoma" w:cs="Tahoma"/>
      <w:sz w:val="16"/>
      <w:szCs w:val="16"/>
    </w:rPr>
  </w:style>
  <w:style w:type="paragraph" w:styleId="Odlomakpopisa">
    <w:name w:val="List Paragraph"/>
    <w:basedOn w:val="Normal"/>
    <w:uiPriority w:val="34"/>
    <w:qFormat/>
    <w:rsid w:val="007E3A23"/>
    <w:pPr>
      <w:spacing w:after="200" w:line="276" w:lineRule="auto"/>
      <w:ind w:left="720"/>
      <w:contextualSpacing/>
    </w:pPr>
    <w:rPr>
      <w:rFonts w:ascii="Calibri" w:eastAsia="Calibri" w:hAnsi="Calibri"/>
      <w:sz w:val="22"/>
      <w:szCs w:val="22"/>
      <w:lang w:eastAsia="en-US"/>
    </w:rPr>
  </w:style>
  <w:style w:type="paragraph" w:customStyle="1" w:styleId="bodytext">
    <w:name w:val="bodytext"/>
    <w:basedOn w:val="Normal"/>
    <w:rsid w:val="007E3A23"/>
    <w:pPr>
      <w:spacing w:before="100" w:beforeAutospacing="1" w:after="100" w:afterAutospacing="1"/>
    </w:pPr>
    <w:rPr>
      <w:rFonts w:ascii="Arial" w:hAnsi="Arial" w:cs="Arial"/>
      <w:sz w:val="18"/>
      <w:szCs w:val="18"/>
    </w:rPr>
  </w:style>
  <w:style w:type="paragraph" w:customStyle="1" w:styleId="EmptyLayoutCell">
    <w:name w:val="EmptyLayoutCell"/>
    <w:basedOn w:val="Normal"/>
    <w:rsid w:val="007E3A23"/>
    <w:rPr>
      <w:sz w:val="2"/>
      <w:szCs w:val="20"/>
      <w:lang w:val="en-US" w:eastAsia="en-US"/>
    </w:rPr>
  </w:style>
  <w:style w:type="character" w:styleId="Hiperveza">
    <w:name w:val="Hyperlink"/>
    <w:basedOn w:val="Zadanifontodlomka"/>
    <w:uiPriority w:val="99"/>
    <w:semiHidden/>
    <w:unhideWhenUsed/>
    <w:rsid w:val="006D2D0A"/>
    <w:rPr>
      <w:color w:val="0563C1" w:themeColor="hyperlink"/>
      <w:u w:val="single"/>
    </w:rPr>
  </w:style>
  <w:style w:type="paragraph" w:styleId="z-vrhobrasca">
    <w:name w:val="HTML Top of Form"/>
    <w:basedOn w:val="Normal"/>
    <w:next w:val="Normal"/>
    <w:link w:val="z-vrhobrascaChar"/>
    <w:hidden/>
    <w:uiPriority w:val="99"/>
    <w:semiHidden/>
    <w:unhideWhenUsed/>
    <w:rsid w:val="00771EAF"/>
    <w:pPr>
      <w:pBdr>
        <w:bottom w:val="single" w:sz="6" w:space="1" w:color="auto"/>
      </w:pBdr>
      <w:jc w:val="center"/>
    </w:pPr>
    <w:rPr>
      <w:rFonts w:ascii="Arial" w:hAnsi="Arial" w:cs="Arial"/>
      <w:vanish/>
      <w:sz w:val="16"/>
      <w:szCs w:val="16"/>
    </w:rPr>
  </w:style>
  <w:style w:type="character" w:customStyle="1" w:styleId="z-vrhobrascaChar">
    <w:name w:val="z-vrh obrasca Char"/>
    <w:basedOn w:val="Zadanifontodlomka"/>
    <w:link w:val="z-vrhobrasca"/>
    <w:uiPriority w:val="99"/>
    <w:semiHidden/>
    <w:rsid w:val="00771EAF"/>
    <w:rPr>
      <w:rFonts w:ascii="Arial" w:hAnsi="Arial" w:cs="Arial"/>
      <w:vanish/>
      <w:sz w:val="16"/>
      <w:szCs w:val="16"/>
    </w:rPr>
  </w:style>
  <w:style w:type="paragraph" w:styleId="z-dnoobrasca">
    <w:name w:val="HTML Bottom of Form"/>
    <w:basedOn w:val="Normal"/>
    <w:next w:val="Normal"/>
    <w:link w:val="z-dnoobrascaChar"/>
    <w:hidden/>
    <w:uiPriority w:val="99"/>
    <w:semiHidden/>
    <w:unhideWhenUsed/>
    <w:rsid w:val="00771EAF"/>
    <w:pPr>
      <w:pBdr>
        <w:top w:val="single" w:sz="6" w:space="1" w:color="auto"/>
      </w:pBdr>
      <w:jc w:val="center"/>
    </w:pPr>
    <w:rPr>
      <w:rFonts w:ascii="Arial" w:hAnsi="Arial" w:cs="Arial"/>
      <w:vanish/>
      <w:sz w:val="16"/>
      <w:szCs w:val="16"/>
    </w:rPr>
  </w:style>
  <w:style w:type="character" w:customStyle="1" w:styleId="z-dnoobrascaChar">
    <w:name w:val="z-dno obrasca Char"/>
    <w:basedOn w:val="Zadanifontodlomka"/>
    <w:link w:val="z-dnoobrasca"/>
    <w:uiPriority w:val="99"/>
    <w:semiHidden/>
    <w:rsid w:val="00771EAF"/>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8430">
      <w:bodyDiv w:val="1"/>
      <w:marLeft w:val="0"/>
      <w:marRight w:val="0"/>
      <w:marTop w:val="0"/>
      <w:marBottom w:val="0"/>
      <w:divBdr>
        <w:top w:val="none" w:sz="0" w:space="0" w:color="auto"/>
        <w:left w:val="none" w:sz="0" w:space="0" w:color="auto"/>
        <w:bottom w:val="none" w:sz="0" w:space="0" w:color="auto"/>
        <w:right w:val="none" w:sz="0" w:space="0" w:color="auto"/>
      </w:divBdr>
    </w:div>
    <w:div w:id="67461986">
      <w:bodyDiv w:val="1"/>
      <w:marLeft w:val="0"/>
      <w:marRight w:val="0"/>
      <w:marTop w:val="0"/>
      <w:marBottom w:val="0"/>
      <w:divBdr>
        <w:top w:val="none" w:sz="0" w:space="0" w:color="auto"/>
        <w:left w:val="none" w:sz="0" w:space="0" w:color="auto"/>
        <w:bottom w:val="none" w:sz="0" w:space="0" w:color="auto"/>
        <w:right w:val="none" w:sz="0" w:space="0" w:color="auto"/>
      </w:divBdr>
    </w:div>
    <w:div w:id="76905573">
      <w:bodyDiv w:val="1"/>
      <w:marLeft w:val="0"/>
      <w:marRight w:val="0"/>
      <w:marTop w:val="0"/>
      <w:marBottom w:val="0"/>
      <w:divBdr>
        <w:top w:val="none" w:sz="0" w:space="0" w:color="auto"/>
        <w:left w:val="none" w:sz="0" w:space="0" w:color="auto"/>
        <w:bottom w:val="none" w:sz="0" w:space="0" w:color="auto"/>
        <w:right w:val="none" w:sz="0" w:space="0" w:color="auto"/>
      </w:divBdr>
    </w:div>
    <w:div w:id="84114011">
      <w:bodyDiv w:val="1"/>
      <w:marLeft w:val="0"/>
      <w:marRight w:val="0"/>
      <w:marTop w:val="0"/>
      <w:marBottom w:val="0"/>
      <w:divBdr>
        <w:top w:val="none" w:sz="0" w:space="0" w:color="auto"/>
        <w:left w:val="none" w:sz="0" w:space="0" w:color="auto"/>
        <w:bottom w:val="none" w:sz="0" w:space="0" w:color="auto"/>
        <w:right w:val="none" w:sz="0" w:space="0" w:color="auto"/>
      </w:divBdr>
    </w:div>
    <w:div w:id="115568895">
      <w:bodyDiv w:val="1"/>
      <w:marLeft w:val="0"/>
      <w:marRight w:val="0"/>
      <w:marTop w:val="0"/>
      <w:marBottom w:val="0"/>
      <w:divBdr>
        <w:top w:val="none" w:sz="0" w:space="0" w:color="auto"/>
        <w:left w:val="none" w:sz="0" w:space="0" w:color="auto"/>
        <w:bottom w:val="none" w:sz="0" w:space="0" w:color="auto"/>
        <w:right w:val="none" w:sz="0" w:space="0" w:color="auto"/>
      </w:divBdr>
    </w:div>
    <w:div w:id="146671622">
      <w:bodyDiv w:val="1"/>
      <w:marLeft w:val="0"/>
      <w:marRight w:val="0"/>
      <w:marTop w:val="0"/>
      <w:marBottom w:val="0"/>
      <w:divBdr>
        <w:top w:val="none" w:sz="0" w:space="0" w:color="auto"/>
        <w:left w:val="none" w:sz="0" w:space="0" w:color="auto"/>
        <w:bottom w:val="none" w:sz="0" w:space="0" w:color="auto"/>
        <w:right w:val="none" w:sz="0" w:space="0" w:color="auto"/>
      </w:divBdr>
    </w:div>
    <w:div w:id="168181788">
      <w:bodyDiv w:val="1"/>
      <w:marLeft w:val="0"/>
      <w:marRight w:val="0"/>
      <w:marTop w:val="0"/>
      <w:marBottom w:val="0"/>
      <w:divBdr>
        <w:top w:val="none" w:sz="0" w:space="0" w:color="auto"/>
        <w:left w:val="none" w:sz="0" w:space="0" w:color="auto"/>
        <w:bottom w:val="none" w:sz="0" w:space="0" w:color="auto"/>
        <w:right w:val="none" w:sz="0" w:space="0" w:color="auto"/>
      </w:divBdr>
    </w:div>
    <w:div w:id="207574254">
      <w:bodyDiv w:val="1"/>
      <w:marLeft w:val="0"/>
      <w:marRight w:val="0"/>
      <w:marTop w:val="0"/>
      <w:marBottom w:val="0"/>
      <w:divBdr>
        <w:top w:val="none" w:sz="0" w:space="0" w:color="auto"/>
        <w:left w:val="none" w:sz="0" w:space="0" w:color="auto"/>
        <w:bottom w:val="none" w:sz="0" w:space="0" w:color="auto"/>
        <w:right w:val="none" w:sz="0" w:space="0" w:color="auto"/>
      </w:divBdr>
    </w:div>
    <w:div w:id="211311431">
      <w:bodyDiv w:val="1"/>
      <w:marLeft w:val="0"/>
      <w:marRight w:val="0"/>
      <w:marTop w:val="0"/>
      <w:marBottom w:val="0"/>
      <w:divBdr>
        <w:top w:val="none" w:sz="0" w:space="0" w:color="auto"/>
        <w:left w:val="none" w:sz="0" w:space="0" w:color="auto"/>
        <w:bottom w:val="none" w:sz="0" w:space="0" w:color="auto"/>
        <w:right w:val="none" w:sz="0" w:space="0" w:color="auto"/>
      </w:divBdr>
    </w:div>
    <w:div w:id="211885913">
      <w:bodyDiv w:val="1"/>
      <w:marLeft w:val="0"/>
      <w:marRight w:val="0"/>
      <w:marTop w:val="0"/>
      <w:marBottom w:val="0"/>
      <w:divBdr>
        <w:top w:val="none" w:sz="0" w:space="0" w:color="auto"/>
        <w:left w:val="none" w:sz="0" w:space="0" w:color="auto"/>
        <w:bottom w:val="none" w:sz="0" w:space="0" w:color="auto"/>
        <w:right w:val="none" w:sz="0" w:space="0" w:color="auto"/>
      </w:divBdr>
    </w:div>
    <w:div w:id="229998450">
      <w:bodyDiv w:val="1"/>
      <w:marLeft w:val="0"/>
      <w:marRight w:val="0"/>
      <w:marTop w:val="0"/>
      <w:marBottom w:val="0"/>
      <w:divBdr>
        <w:top w:val="none" w:sz="0" w:space="0" w:color="auto"/>
        <w:left w:val="none" w:sz="0" w:space="0" w:color="auto"/>
        <w:bottom w:val="none" w:sz="0" w:space="0" w:color="auto"/>
        <w:right w:val="none" w:sz="0" w:space="0" w:color="auto"/>
      </w:divBdr>
    </w:div>
    <w:div w:id="248271289">
      <w:bodyDiv w:val="1"/>
      <w:marLeft w:val="0"/>
      <w:marRight w:val="0"/>
      <w:marTop w:val="0"/>
      <w:marBottom w:val="0"/>
      <w:divBdr>
        <w:top w:val="none" w:sz="0" w:space="0" w:color="auto"/>
        <w:left w:val="none" w:sz="0" w:space="0" w:color="auto"/>
        <w:bottom w:val="none" w:sz="0" w:space="0" w:color="auto"/>
        <w:right w:val="none" w:sz="0" w:space="0" w:color="auto"/>
      </w:divBdr>
    </w:div>
    <w:div w:id="309021199">
      <w:bodyDiv w:val="1"/>
      <w:marLeft w:val="0"/>
      <w:marRight w:val="0"/>
      <w:marTop w:val="0"/>
      <w:marBottom w:val="0"/>
      <w:divBdr>
        <w:top w:val="none" w:sz="0" w:space="0" w:color="auto"/>
        <w:left w:val="none" w:sz="0" w:space="0" w:color="auto"/>
        <w:bottom w:val="none" w:sz="0" w:space="0" w:color="auto"/>
        <w:right w:val="none" w:sz="0" w:space="0" w:color="auto"/>
      </w:divBdr>
    </w:div>
    <w:div w:id="328873729">
      <w:marLeft w:val="0"/>
      <w:marRight w:val="0"/>
      <w:marTop w:val="0"/>
      <w:marBottom w:val="0"/>
      <w:divBdr>
        <w:top w:val="none" w:sz="0" w:space="0" w:color="auto"/>
        <w:left w:val="none" w:sz="0" w:space="0" w:color="auto"/>
        <w:bottom w:val="none" w:sz="0" w:space="0" w:color="auto"/>
        <w:right w:val="none" w:sz="0" w:space="0" w:color="auto"/>
      </w:divBdr>
      <w:divsChild>
        <w:div w:id="845948501">
          <w:marLeft w:val="0"/>
          <w:marRight w:val="0"/>
          <w:marTop w:val="0"/>
          <w:marBottom w:val="0"/>
          <w:divBdr>
            <w:top w:val="none" w:sz="0" w:space="0" w:color="auto"/>
            <w:left w:val="none" w:sz="0" w:space="0" w:color="auto"/>
            <w:bottom w:val="none" w:sz="0" w:space="0" w:color="auto"/>
            <w:right w:val="none" w:sz="0" w:space="0" w:color="auto"/>
          </w:divBdr>
          <w:divsChild>
            <w:div w:id="204953284">
              <w:marLeft w:val="0"/>
              <w:marRight w:val="0"/>
              <w:marTop w:val="0"/>
              <w:marBottom w:val="0"/>
              <w:divBdr>
                <w:top w:val="none" w:sz="0" w:space="0" w:color="auto"/>
                <w:left w:val="none" w:sz="0" w:space="0" w:color="auto"/>
                <w:bottom w:val="none" w:sz="0" w:space="0" w:color="auto"/>
                <w:right w:val="none" w:sz="0" w:space="0" w:color="auto"/>
              </w:divBdr>
              <w:divsChild>
                <w:div w:id="19167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92688">
      <w:bodyDiv w:val="1"/>
      <w:marLeft w:val="0"/>
      <w:marRight w:val="0"/>
      <w:marTop w:val="0"/>
      <w:marBottom w:val="0"/>
      <w:divBdr>
        <w:top w:val="none" w:sz="0" w:space="0" w:color="auto"/>
        <w:left w:val="none" w:sz="0" w:space="0" w:color="auto"/>
        <w:bottom w:val="none" w:sz="0" w:space="0" w:color="auto"/>
        <w:right w:val="none" w:sz="0" w:space="0" w:color="auto"/>
      </w:divBdr>
    </w:div>
    <w:div w:id="402072809">
      <w:bodyDiv w:val="1"/>
      <w:marLeft w:val="0"/>
      <w:marRight w:val="0"/>
      <w:marTop w:val="0"/>
      <w:marBottom w:val="0"/>
      <w:divBdr>
        <w:top w:val="none" w:sz="0" w:space="0" w:color="auto"/>
        <w:left w:val="none" w:sz="0" w:space="0" w:color="auto"/>
        <w:bottom w:val="none" w:sz="0" w:space="0" w:color="auto"/>
        <w:right w:val="none" w:sz="0" w:space="0" w:color="auto"/>
      </w:divBdr>
    </w:div>
    <w:div w:id="439833715">
      <w:bodyDiv w:val="1"/>
      <w:marLeft w:val="0"/>
      <w:marRight w:val="0"/>
      <w:marTop w:val="0"/>
      <w:marBottom w:val="0"/>
      <w:divBdr>
        <w:top w:val="none" w:sz="0" w:space="0" w:color="auto"/>
        <w:left w:val="none" w:sz="0" w:space="0" w:color="auto"/>
        <w:bottom w:val="none" w:sz="0" w:space="0" w:color="auto"/>
        <w:right w:val="none" w:sz="0" w:space="0" w:color="auto"/>
      </w:divBdr>
    </w:div>
    <w:div w:id="445123921">
      <w:bodyDiv w:val="1"/>
      <w:marLeft w:val="0"/>
      <w:marRight w:val="0"/>
      <w:marTop w:val="0"/>
      <w:marBottom w:val="0"/>
      <w:divBdr>
        <w:top w:val="none" w:sz="0" w:space="0" w:color="auto"/>
        <w:left w:val="none" w:sz="0" w:space="0" w:color="auto"/>
        <w:bottom w:val="none" w:sz="0" w:space="0" w:color="auto"/>
        <w:right w:val="none" w:sz="0" w:space="0" w:color="auto"/>
      </w:divBdr>
    </w:div>
    <w:div w:id="486630642">
      <w:bodyDiv w:val="1"/>
      <w:marLeft w:val="0"/>
      <w:marRight w:val="0"/>
      <w:marTop w:val="0"/>
      <w:marBottom w:val="0"/>
      <w:divBdr>
        <w:top w:val="none" w:sz="0" w:space="0" w:color="auto"/>
        <w:left w:val="none" w:sz="0" w:space="0" w:color="auto"/>
        <w:bottom w:val="none" w:sz="0" w:space="0" w:color="auto"/>
        <w:right w:val="none" w:sz="0" w:space="0" w:color="auto"/>
      </w:divBdr>
    </w:div>
    <w:div w:id="508639865">
      <w:bodyDiv w:val="1"/>
      <w:marLeft w:val="0"/>
      <w:marRight w:val="0"/>
      <w:marTop w:val="0"/>
      <w:marBottom w:val="0"/>
      <w:divBdr>
        <w:top w:val="none" w:sz="0" w:space="0" w:color="auto"/>
        <w:left w:val="none" w:sz="0" w:space="0" w:color="auto"/>
        <w:bottom w:val="none" w:sz="0" w:space="0" w:color="auto"/>
        <w:right w:val="none" w:sz="0" w:space="0" w:color="auto"/>
      </w:divBdr>
    </w:div>
    <w:div w:id="536090739">
      <w:bodyDiv w:val="1"/>
      <w:marLeft w:val="0"/>
      <w:marRight w:val="0"/>
      <w:marTop w:val="0"/>
      <w:marBottom w:val="0"/>
      <w:divBdr>
        <w:top w:val="none" w:sz="0" w:space="0" w:color="auto"/>
        <w:left w:val="none" w:sz="0" w:space="0" w:color="auto"/>
        <w:bottom w:val="none" w:sz="0" w:space="0" w:color="auto"/>
        <w:right w:val="none" w:sz="0" w:space="0" w:color="auto"/>
      </w:divBdr>
    </w:div>
    <w:div w:id="538006721">
      <w:bodyDiv w:val="1"/>
      <w:marLeft w:val="0"/>
      <w:marRight w:val="0"/>
      <w:marTop w:val="0"/>
      <w:marBottom w:val="0"/>
      <w:divBdr>
        <w:top w:val="none" w:sz="0" w:space="0" w:color="auto"/>
        <w:left w:val="none" w:sz="0" w:space="0" w:color="auto"/>
        <w:bottom w:val="none" w:sz="0" w:space="0" w:color="auto"/>
        <w:right w:val="none" w:sz="0" w:space="0" w:color="auto"/>
      </w:divBdr>
    </w:div>
    <w:div w:id="552892981">
      <w:bodyDiv w:val="1"/>
      <w:marLeft w:val="0"/>
      <w:marRight w:val="0"/>
      <w:marTop w:val="0"/>
      <w:marBottom w:val="0"/>
      <w:divBdr>
        <w:top w:val="none" w:sz="0" w:space="0" w:color="auto"/>
        <w:left w:val="none" w:sz="0" w:space="0" w:color="auto"/>
        <w:bottom w:val="none" w:sz="0" w:space="0" w:color="auto"/>
        <w:right w:val="none" w:sz="0" w:space="0" w:color="auto"/>
      </w:divBdr>
      <w:divsChild>
        <w:div w:id="1457719935">
          <w:marLeft w:val="0"/>
          <w:marRight w:val="0"/>
          <w:marTop w:val="0"/>
          <w:marBottom w:val="0"/>
          <w:divBdr>
            <w:top w:val="none" w:sz="0" w:space="0" w:color="auto"/>
            <w:left w:val="none" w:sz="0" w:space="0" w:color="auto"/>
            <w:bottom w:val="none" w:sz="0" w:space="0" w:color="auto"/>
            <w:right w:val="none" w:sz="0" w:space="0" w:color="auto"/>
          </w:divBdr>
        </w:div>
      </w:divsChild>
    </w:div>
    <w:div w:id="566576163">
      <w:bodyDiv w:val="1"/>
      <w:marLeft w:val="0"/>
      <w:marRight w:val="0"/>
      <w:marTop w:val="0"/>
      <w:marBottom w:val="0"/>
      <w:divBdr>
        <w:top w:val="none" w:sz="0" w:space="0" w:color="auto"/>
        <w:left w:val="none" w:sz="0" w:space="0" w:color="auto"/>
        <w:bottom w:val="none" w:sz="0" w:space="0" w:color="auto"/>
        <w:right w:val="none" w:sz="0" w:space="0" w:color="auto"/>
      </w:divBdr>
    </w:div>
    <w:div w:id="587421959">
      <w:bodyDiv w:val="1"/>
      <w:marLeft w:val="0"/>
      <w:marRight w:val="0"/>
      <w:marTop w:val="0"/>
      <w:marBottom w:val="0"/>
      <w:divBdr>
        <w:top w:val="none" w:sz="0" w:space="0" w:color="auto"/>
        <w:left w:val="none" w:sz="0" w:space="0" w:color="auto"/>
        <w:bottom w:val="none" w:sz="0" w:space="0" w:color="auto"/>
        <w:right w:val="none" w:sz="0" w:space="0" w:color="auto"/>
      </w:divBdr>
    </w:div>
    <w:div w:id="726412175">
      <w:bodyDiv w:val="1"/>
      <w:marLeft w:val="0"/>
      <w:marRight w:val="0"/>
      <w:marTop w:val="0"/>
      <w:marBottom w:val="0"/>
      <w:divBdr>
        <w:top w:val="none" w:sz="0" w:space="0" w:color="auto"/>
        <w:left w:val="none" w:sz="0" w:space="0" w:color="auto"/>
        <w:bottom w:val="none" w:sz="0" w:space="0" w:color="auto"/>
        <w:right w:val="none" w:sz="0" w:space="0" w:color="auto"/>
      </w:divBdr>
    </w:div>
    <w:div w:id="752430598">
      <w:bodyDiv w:val="1"/>
      <w:marLeft w:val="0"/>
      <w:marRight w:val="0"/>
      <w:marTop w:val="0"/>
      <w:marBottom w:val="0"/>
      <w:divBdr>
        <w:top w:val="none" w:sz="0" w:space="0" w:color="auto"/>
        <w:left w:val="none" w:sz="0" w:space="0" w:color="auto"/>
        <w:bottom w:val="none" w:sz="0" w:space="0" w:color="auto"/>
        <w:right w:val="none" w:sz="0" w:space="0" w:color="auto"/>
      </w:divBdr>
    </w:div>
    <w:div w:id="859273917">
      <w:bodyDiv w:val="1"/>
      <w:marLeft w:val="0"/>
      <w:marRight w:val="0"/>
      <w:marTop w:val="0"/>
      <w:marBottom w:val="0"/>
      <w:divBdr>
        <w:top w:val="none" w:sz="0" w:space="0" w:color="auto"/>
        <w:left w:val="none" w:sz="0" w:space="0" w:color="auto"/>
        <w:bottom w:val="none" w:sz="0" w:space="0" w:color="auto"/>
        <w:right w:val="none" w:sz="0" w:space="0" w:color="auto"/>
      </w:divBdr>
    </w:div>
    <w:div w:id="884874947">
      <w:bodyDiv w:val="1"/>
      <w:marLeft w:val="0"/>
      <w:marRight w:val="0"/>
      <w:marTop w:val="0"/>
      <w:marBottom w:val="0"/>
      <w:divBdr>
        <w:top w:val="none" w:sz="0" w:space="0" w:color="auto"/>
        <w:left w:val="none" w:sz="0" w:space="0" w:color="auto"/>
        <w:bottom w:val="none" w:sz="0" w:space="0" w:color="auto"/>
        <w:right w:val="none" w:sz="0" w:space="0" w:color="auto"/>
      </w:divBdr>
    </w:div>
    <w:div w:id="895354574">
      <w:bodyDiv w:val="1"/>
      <w:marLeft w:val="0"/>
      <w:marRight w:val="0"/>
      <w:marTop w:val="0"/>
      <w:marBottom w:val="0"/>
      <w:divBdr>
        <w:top w:val="none" w:sz="0" w:space="0" w:color="auto"/>
        <w:left w:val="none" w:sz="0" w:space="0" w:color="auto"/>
        <w:bottom w:val="none" w:sz="0" w:space="0" w:color="auto"/>
        <w:right w:val="none" w:sz="0" w:space="0" w:color="auto"/>
      </w:divBdr>
    </w:div>
    <w:div w:id="897590887">
      <w:bodyDiv w:val="1"/>
      <w:marLeft w:val="0"/>
      <w:marRight w:val="0"/>
      <w:marTop w:val="0"/>
      <w:marBottom w:val="0"/>
      <w:divBdr>
        <w:top w:val="none" w:sz="0" w:space="0" w:color="auto"/>
        <w:left w:val="none" w:sz="0" w:space="0" w:color="auto"/>
        <w:bottom w:val="none" w:sz="0" w:space="0" w:color="auto"/>
        <w:right w:val="none" w:sz="0" w:space="0" w:color="auto"/>
      </w:divBdr>
    </w:div>
    <w:div w:id="897782737">
      <w:bodyDiv w:val="1"/>
      <w:marLeft w:val="0"/>
      <w:marRight w:val="0"/>
      <w:marTop w:val="0"/>
      <w:marBottom w:val="0"/>
      <w:divBdr>
        <w:top w:val="none" w:sz="0" w:space="0" w:color="auto"/>
        <w:left w:val="none" w:sz="0" w:space="0" w:color="auto"/>
        <w:bottom w:val="none" w:sz="0" w:space="0" w:color="auto"/>
        <w:right w:val="none" w:sz="0" w:space="0" w:color="auto"/>
      </w:divBdr>
      <w:divsChild>
        <w:div w:id="1702317526">
          <w:marLeft w:val="0"/>
          <w:marRight w:val="0"/>
          <w:marTop w:val="0"/>
          <w:marBottom w:val="0"/>
          <w:divBdr>
            <w:top w:val="none" w:sz="0" w:space="0" w:color="auto"/>
            <w:left w:val="none" w:sz="0" w:space="0" w:color="auto"/>
            <w:bottom w:val="none" w:sz="0" w:space="0" w:color="auto"/>
            <w:right w:val="none" w:sz="0" w:space="0" w:color="auto"/>
          </w:divBdr>
          <w:divsChild>
            <w:div w:id="1780224718">
              <w:marLeft w:val="0"/>
              <w:marRight w:val="0"/>
              <w:marTop w:val="0"/>
              <w:marBottom w:val="0"/>
              <w:divBdr>
                <w:top w:val="none" w:sz="0" w:space="0" w:color="auto"/>
                <w:left w:val="none" w:sz="0" w:space="0" w:color="auto"/>
                <w:bottom w:val="none" w:sz="0" w:space="0" w:color="auto"/>
                <w:right w:val="none" w:sz="0" w:space="0" w:color="auto"/>
              </w:divBdr>
              <w:divsChild>
                <w:div w:id="1288581093">
                  <w:marLeft w:val="0"/>
                  <w:marRight w:val="0"/>
                  <w:marTop w:val="0"/>
                  <w:marBottom w:val="0"/>
                  <w:divBdr>
                    <w:top w:val="none" w:sz="0" w:space="0" w:color="auto"/>
                    <w:left w:val="none" w:sz="0" w:space="0" w:color="auto"/>
                    <w:bottom w:val="none" w:sz="0" w:space="0" w:color="auto"/>
                    <w:right w:val="none" w:sz="0" w:space="0" w:color="auto"/>
                  </w:divBdr>
                  <w:divsChild>
                    <w:div w:id="603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2114">
      <w:bodyDiv w:val="1"/>
      <w:marLeft w:val="0"/>
      <w:marRight w:val="0"/>
      <w:marTop w:val="0"/>
      <w:marBottom w:val="0"/>
      <w:divBdr>
        <w:top w:val="none" w:sz="0" w:space="0" w:color="auto"/>
        <w:left w:val="none" w:sz="0" w:space="0" w:color="auto"/>
        <w:bottom w:val="none" w:sz="0" w:space="0" w:color="auto"/>
        <w:right w:val="none" w:sz="0" w:space="0" w:color="auto"/>
      </w:divBdr>
    </w:div>
    <w:div w:id="959725138">
      <w:bodyDiv w:val="1"/>
      <w:marLeft w:val="0"/>
      <w:marRight w:val="0"/>
      <w:marTop w:val="0"/>
      <w:marBottom w:val="0"/>
      <w:divBdr>
        <w:top w:val="none" w:sz="0" w:space="0" w:color="auto"/>
        <w:left w:val="none" w:sz="0" w:space="0" w:color="auto"/>
        <w:bottom w:val="none" w:sz="0" w:space="0" w:color="auto"/>
        <w:right w:val="none" w:sz="0" w:space="0" w:color="auto"/>
      </w:divBdr>
    </w:div>
    <w:div w:id="961611065">
      <w:bodyDiv w:val="1"/>
      <w:marLeft w:val="0"/>
      <w:marRight w:val="0"/>
      <w:marTop w:val="0"/>
      <w:marBottom w:val="0"/>
      <w:divBdr>
        <w:top w:val="none" w:sz="0" w:space="0" w:color="auto"/>
        <w:left w:val="none" w:sz="0" w:space="0" w:color="auto"/>
        <w:bottom w:val="none" w:sz="0" w:space="0" w:color="auto"/>
        <w:right w:val="none" w:sz="0" w:space="0" w:color="auto"/>
      </w:divBdr>
    </w:div>
    <w:div w:id="1042751133">
      <w:bodyDiv w:val="1"/>
      <w:marLeft w:val="0"/>
      <w:marRight w:val="0"/>
      <w:marTop w:val="0"/>
      <w:marBottom w:val="0"/>
      <w:divBdr>
        <w:top w:val="none" w:sz="0" w:space="0" w:color="auto"/>
        <w:left w:val="none" w:sz="0" w:space="0" w:color="auto"/>
        <w:bottom w:val="none" w:sz="0" w:space="0" w:color="auto"/>
        <w:right w:val="none" w:sz="0" w:space="0" w:color="auto"/>
      </w:divBdr>
    </w:div>
    <w:div w:id="1062605396">
      <w:bodyDiv w:val="1"/>
      <w:marLeft w:val="0"/>
      <w:marRight w:val="0"/>
      <w:marTop w:val="0"/>
      <w:marBottom w:val="0"/>
      <w:divBdr>
        <w:top w:val="none" w:sz="0" w:space="0" w:color="auto"/>
        <w:left w:val="none" w:sz="0" w:space="0" w:color="auto"/>
        <w:bottom w:val="none" w:sz="0" w:space="0" w:color="auto"/>
        <w:right w:val="none" w:sz="0" w:space="0" w:color="auto"/>
      </w:divBdr>
    </w:div>
    <w:div w:id="1108232993">
      <w:bodyDiv w:val="1"/>
      <w:marLeft w:val="0"/>
      <w:marRight w:val="0"/>
      <w:marTop w:val="0"/>
      <w:marBottom w:val="0"/>
      <w:divBdr>
        <w:top w:val="none" w:sz="0" w:space="0" w:color="auto"/>
        <w:left w:val="none" w:sz="0" w:space="0" w:color="auto"/>
        <w:bottom w:val="none" w:sz="0" w:space="0" w:color="auto"/>
        <w:right w:val="none" w:sz="0" w:space="0" w:color="auto"/>
      </w:divBdr>
    </w:div>
    <w:div w:id="1143622315">
      <w:bodyDiv w:val="1"/>
      <w:marLeft w:val="0"/>
      <w:marRight w:val="0"/>
      <w:marTop w:val="0"/>
      <w:marBottom w:val="0"/>
      <w:divBdr>
        <w:top w:val="none" w:sz="0" w:space="0" w:color="auto"/>
        <w:left w:val="none" w:sz="0" w:space="0" w:color="auto"/>
        <w:bottom w:val="none" w:sz="0" w:space="0" w:color="auto"/>
        <w:right w:val="none" w:sz="0" w:space="0" w:color="auto"/>
      </w:divBdr>
    </w:div>
    <w:div w:id="1177037614">
      <w:bodyDiv w:val="1"/>
      <w:marLeft w:val="0"/>
      <w:marRight w:val="0"/>
      <w:marTop w:val="0"/>
      <w:marBottom w:val="0"/>
      <w:divBdr>
        <w:top w:val="none" w:sz="0" w:space="0" w:color="auto"/>
        <w:left w:val="none" w:sz="0" w:space="0" w:color="auto"/>
        <w:bottom w:val="none" w:sz="0" w:space="0" w:color="auto"/>
        <w:right w:val="none" w:sz="0" w:space="0" w:color="auto"/>
      </w:divBdr>
    </w:div>
    <w:div w:id="1208832641">
      <w:bodyDiv w:val="1"/>
      <w:marLeft w:val="0"/>
      <w:marRight w:val="0"/>
      <w:marTop w:val="0"/>
      <w:marBottom w:val="0"/>
      <w:divBdr>
        <w:top w:val="none" w:sz="0" w:space="0" w:color="auto"/>
        <w:left w:val="none" w:sz="0" w:space="0" w:color="auto"/>
        <w:bottom w:val="none" w:sz="0" w:space="0" w:color="auto"/>
        <w:right w:val="none" w:sz="0" w:space="0" w:color="auto"/>
      </w:divBdr>
    </w:div>
    <w:div w:id="1229727840">
      <w:marLeft w:val="0"/>
      <w:marRight w:val="0"/>
      <w:marTop w:val="0"/>
      <w:marBottom w:val="0"/>
      <w:divBdr>
        <w:top w:val="none" w:sz="0" w:space="0" w:color="auto"/>
        <w:left w:val="none" w:sz="0" w:space="0" w:color="auto"/>
        <w:bottom w:val="none" w:sz="0" w:space="0" w:color="auto"/>
        <w:right w:val="none" w:sz="0" w:space="0" w:color="auto"/>
      </w:divBdr>
      <w:divsChild>
        <w:div w:id="2030712230">
          <w:marLeft w:val="0"/>
          <w:marRight w:val="0"/>
          <w:marTop w:val="0"/>
          <w:marBottom w:val="0"/>
          <w:divBdr>
            <w:top w:val="none" w:sz="0" w:space="0" w:color="auto"/>
            <w:left w:val="none" w:sz="0" w:space="0" w:color="auto"/>
            <w:bottom w:val="none" w:sz="0" w:space="0" w:color="auto"/>
            <w:right w:val="none" w:sz="0" w:space="0" w:color="auto"/>
          </w:divBdr>
          <w:divsChild>
            <w:div w:id="1773168086">
              <w:marLeft w:val="0"/>
              <w:marRight w:val="0"/>
              <w:marTop w:val="0"/>
              <w:marBottom w:val="0"/>
              <w:divBdr>
                <w:top w:val="none" w:sz="0" w:space="0" w:color="auto"/>
                <w:left w:val="none" w:sz="0" w:space="0" w:color="auto"/>
                <w:bottom w:val="none" w:sz="0" w:space="0" w:color="auto"/>
                <w:right w:val="none" w:sz="0" w:space="0" w:color="auto"/>
              </w:divBdr>
              <w:divsChild>
                <w:div w:id="6904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29097">
      <w:bodyDiv w:val="1"/>
      <w:marLeft w:val="0"/>
      <w:marRight w:val="0"/>
      <w:marTop w:val="0"/>
      <w:marBottom w:val="0"/>
      <w:divBdr>
        <w:top w:val="none" w:sz="0" w:space="0" w:color="auto"/>
        <w:left w:val="none" w:sz="0" w:space="0" w:color="auto"/>
        <w:bottom w:val="none" w:sz="0" w:space="0" w:color="auto"/>
        <w:right w:val="none" w:sz="0" w:space="0" w:color="auto"/>
      </w:divBdr>
    </w:div>
    <w:div w:id="1273511590">
      <w:bodyDiv w:val="1"/>
      <w:marLeft w:val="0"/>
      <w:marRight w:val="0"/>
      <w:marTop w:val="0"/>
      <w:marBottom w:val="0"/>
      <w:divBdr>
        <w:top w:val="none" w:sz="0" w:space="0" w:color="auto"/>
        <w:left w:val="none" w:sz="0" w:space="0" w:color="auto"/>
        <w:bottom w:val="none" w:sz="0" w:space="0" w:color="auto"/>
        <w:right w:val="none" w:sz="0" w:space="0" w:color="auto"/>
      </w:divBdr>
    </w:div>
    <w:div w:id="1285119648">
      <w:marLeft w:val="0"/>
      <w:marRight w:val="0"/>
      <w:marTop w:val="0"/>
      <w:marBottom w:val="0"/>
      <w:divBdr>
        <w:top w:val="none" w:sz="0" w:space="0" w:color="auto"/>
        <w:left w:val="none" w:sz="0" w:space="0" w:color="auto"/>
        <w:bottom w:val="none" w:sz="0" w:space="0" w:color="auto"/>
        <w:right w:val="none" w:sz="0" w:space="0" w:color="auto"/>
      </w:divBdr>
      <w:divsChild>
        <w:div w:id="1942368999">
          <w:marLeft w:val="0"/>
          <w:marRight w:val="0"/>
          <w:marTop w:val="0"/>
          <w:marBottom w:val="0"/>
          <w:divBdr>
            <w:top w:val="none" w:sz="0" w:space="0" w:color="auto"/>
            <w:left w:val="none" w:sz="0" w:space="0" w:color="auto"/>
            <w:bottom w:val="none" w:sz="0" w:space="0" w:color="auto"/>
            <w:right w:val="none" w:sz="0" w:space="0" w:color="auto"/>
          </w:divBdr>
          <w:divsChild>
            <w:div w:id="591012906">
              <w:marLeft w:val="0"/>
              <w:marRight w:val="0"/>
              <w:marTop w:val="0"/>
              <w:marBottom w:val="0"/>
              <w:divBdr>
                <w:top w:val="none" w:sz="0" w:space="0" w:color="auto"/>
                <w:left w:val="none" w:sz="0" w:space="0" w:color="auto"/>
                <w:bottom w:val="none" w:sz="0" w:space="0" w:color="auto"/>
                <w:right w:val="none" w:sz="0" w:space="0" w:color="auto"/>
              </w:divBdr>
              <w:divsChild>
                <w:div w:id="195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6185">
      <w:bodyDiv w:val="1"/>
      <w:marLeft w:val="0"/>
      <w:marRight w:val="0"/>
      <w:marTop w:val="0"/>
      <w:marBottom w:val="0"/>
      <w:divBdr>
        <w:top w:val="none" w:sz="0" w:space="0" w:color="auto"/>
        <w:left w:val="none" w:sz="0" w:space="0" w:color="auto"/>
        <w:bottom w:val="none" w:sz="0" w:space="0" w:color="auto"/>
        <w:right w:val="none" w:sz="0" w:space="0" w:color="auto"/>
      </w:divBdr>
    </w:div>
    <w:div w:id="1311011911">
      <w:bodyDiv w:val="1"/>
      <w:marLeft w:val="0"/>
      <w:marRight w:val="0"/>
      <w:marTop w:val="0"/>
      <w:marBottom w:val="0"/>
      <w:divBdr>
        <w:top w:val="none" w:sz="0" w:space="0" w:color="auto"/>
        <w:left w:val="none" w:sz="0" w:space="0" w:color="auto"/>
        <w:bottom w:val="none" w:sz="0" w:space="0" w:color="auto"/>
        <w:right w:val="none" w:sz="0" w:space="0" w:color="auto"/>
      </w:divBdr>
    </w:div>
    <w:div w:id="1340280487">
      <w:bodyDiv w:val="1"/>
      <w:marLeft w:val="0"/>
      <w:marRight w:val="0"/>
      <w:marTop w:val="0"/>
      <w:marBottom w:val="0"/>
      <w:divBdr>
        <w:top w:val="none" w:sz="0" w:space="0" w:color="auto"/>
        <w:left w:val="none" w:sz="0" w:space="0" w:color="auto"/>
        <w:bottom w:val="none" w:sz="0" w:space="0" w:color="auto"/>
        <w:right w:val="none" w:sz="0" w:space="0" w:color="auto"/>
      </w:divBdr>
    </w:div>
    <w:div w:id="1408461212">
      <w:bodyDiv w:val="1"/>
      <w:marLeft w:val="0"/>
      <w:marRight w:val="0"/>
      <w:marTop w:val="0"/>
      <w:marBottom w:val="0"/>
      <w:divBdr>
        <w:top w:val="none" w:sz="0" w:space="0" w:color="auto"/>
        <w:left w:val="none" w:sz="0" w:space="0" w:color="auto"/>
        <w:bottom w:val="none" w:sz="0" w:space="0" w:color="auto"/>
        <w:right w:val="none" w:sz="0" w:space="0" w:color="auto"/>
      </w:divBdr>
    </w:div>
    <w:div w:id="1409306563">
      <w:bodyDiv w:val="1"/>
      <w:marLeft w:val="0"/>
      <w:marRight w:val="0"/>
      <w:marTop w:val="0"/>
      <w:marBottom w:val="0"/>
      <w:divBdr>
        <w:top w:val="none" w:sz="0" w:space="0" w:color="auto"/>
        <w:left w:val="none" w:sz="0" w:space="0" w:color="auto"/>
        <w:bottom w:val="none" w:sz="0" w:space="0" w:color="auto"/>
        <w:right w:val="none" w:sz="0" w:space="0" w:color="auto"/>
      </w:divBdr>
    </w:div>
    <w:div w:id="1426733143">
      <w:marLeft w:val="0"/>
      <w:marRight w:val="0"/>
      <w:marTop w:val="0"/>
      <w:marBottom w:val="0"/>
      <w:divBdr>
        <w:top w:val="none" w:sz="0" w:space="0" w:color="auto"/>
        <w:left w:val="none" w:sz="0" w:space="0" w:color="auto"/>
        <w:bottom w:val="none" w:sz="0" w:space="0" w:color="auto"/>
        <w:right w:val="none" w:sz="0" w:space="0" w:color="auto"/>
      </w:divBdr>
      <w:divsChild>
        <w:div w:id="684207102">
          <w:marLeft w:val="0"/>
          <w:marRight w:val="0"/>
          <w:marTop w:val="0"/>
          <w:marBottom w:val="0"/>
          <w:divBdr>
            <w:top w:val="none" w:sz="0" w:space="0" w:color="auto"/>
            <w:left w:val="none" w:sz="0" w:space="0" w:color="auto"/>
            <w:bottom w:val="none" w:sz="0" w:space="0" w:color="auto"/>
            <w:right w:val="none" w:sz="0" w:space="0" w:color="auto"/>
          </w:divBdr>
          <w:divsChild>
            <w:div w:id="186320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14905">
      <w:bodyDiv w:val="1"/>
      <w:marLeft w:val="0"/>
      <w:marRight w:val="0"/>
      <w:marTop w:val="0"/>
      <w:marBottom w:val="0"/>
      <w:divBdr>
        <w:top w:val="none" w:sz="0" w:space="0" w:color="auto"/>
        <w:left w:val="none" w:sz="0" w:space="0" w:color="auto"/>
        <w:bottom w:val="none" w:sz="0" w:space="0" w:color="auto"/>
        <w:right w:val="none" w:sz="0" w:space="0" w:color="auto"/>
      </w:divBdr>
    </w:div>
    <w:div w:id="1459911918">
      <w:bodyDiv w:val="1"/>
      <w:marLeft w:val="0"/>
      <w:marRight w:val="0"/>
      <w:marTop w:val="0"/>
      <w:marBottom w:val="0"/>
      <w:divBdr>
        <w:top w:val="none" w:sz="0" w:space="0" w:color="auto"/>
        <w:left w:val="none" w:sz="0" w:space="0" w:color="auto"/>
        <w:bottom w:val="none" w:sz="0" w:space="0" w:color="auto"/>
        <w:right w:val="none" w:sz="0" w:space="0" w:color="auto"/>
      </w:divBdr>
    </w:div>
    <w:div w:id="1501389217">
      <w:bodyDiv w:val="1"/>
      <w:marLeft w:val="0"/>
      <w:marRight w:val="0"/>
      <w:marTop w:val="0"/>
      <w:marBottom w:val="0"/>
      <w:divBdr>
        <w:top w:val="none" w:sz="0" w:space="0" w:color="auto"/>
        <w:left w:val="none" w:sz="0" w:space="0" w:color="auto"/>
        <w:bottom w:val="none" w:sz="0" w:space="0" w:color="auto"/>
        <w:right w:val="none" w:sz="0" w:space="0" w:color="auto"/>
      </w:divBdr>
    </w:div>
    <w:div w:id="1544365206">
      <w:bodyDiv w:val="1"/>
      <w:marLeft w:val="0"/>
      <w:marRight w:val="0"/>
      <w:marTop w:val="0"/>
      <w:marBottom w:val="0"/>
      <w:divBdr>
        <w:top w:val="none" w:sz="0" w:space="0" w:color="auto"/>
        <w:left w:val="none" w:sz="0" w:space="0" w:color="auto"/>
        <w:bottom w:val="none" w:sz="0" w:space="0" w:color="auto"/>
        <w:right w:val="none" w:sz="0" w:space="0" w:color="auto"/>
      </w:divBdr>
    </w:div>
    <w:div w:id="1547332322">
      <w:bodyDiv w:val="1"/>
      <w:marLeft w:val="0"/>
      <w:marRight w:val="0"/>
      <w:marTop w:val="0"/>
      <w:marBottom w:val="0"/>
      <w:divBdr>
        <w:top w:val="none" w:sz="0" w:space="0" w:color="auto"/>
        <w:left w:val="none" w:sz="0" w:space="0" w:color="auto"/>
        <w:bottom w:val="none" w:sz="0" w:space="0" w:color="auto"/>
        <w:right w:val="none" w:sz="0" w:space="0" w:color="auto"/>
      </w:divBdr>
    </w:div>
    <w:div w:id="1550606314">
      <w:bodyDiv w:val="1"/>
      <w:marLeft w:val="0"/>
      <w:marRight w:val="0"/>
      <w:marTop w:val="0"/>
      <w:marBottom w:val="0"/>
      <w:divBdr>
        <w:top w:val="none" w:sz="0" w:space="0" w:color="auto"/>
        <w:left w:val="none" w:sz="0" w:space="0" w:color="auto"/>
        <w:bottom w:val="none" w:sz="0" w:space="0" w:color="auto"/>
        <w:right w:val="none" w:sz="0" w:space="0" w:color="auto"/>
      </w:divBdr>
    </w:div>
    <w:div w:id="1559438470">
      <w:bodyDiv w:val="1"/>
      <w:marLeft w:val="0"/>
      <w:marRight w:val="0"/>
      <w:marTop w:val="0"/>
      <w:marBottom w:val="0"/>
      <w:divBdr>
        <w:top w:val="none" w:sz="0" w:space="0" w:color="auto"/>
        <w:left w:val="none" w:sz="0" w:space="0" w:color="auto"/>
        <w:bottom w:val="none" w:sz="0" w:space="0" w:color="auto"/>
        <w:right w:val="none" w:sz="0" w:space="0" w:color="auto"/>
      </w:divBdr>
    </w:div>
    <w:div w:id="1561866342">
      <w:bodyDiv w:val="1"/>
      <w:marLeft w:val="0"/>
      <w:marRight w:val="0"/>
      <w:marTop w:val="0"/>
      <w:marBottom w:val="0"/>
      <w:divBdr>
        <w:top w:val="none" w:sz="0" w:space="0" w:color="auto"/>
        <w:left w:val="none" w:sz="0" w:space="0" w:color="auto"/>
        <w:bottom w:val="none" w:sz="0" w:space="0" w:color="auto"/>
        <w:right w:val="none" w:sz="0" w:space="0" w:color="auto"/>
      </w:divBdr>
    </w:div>
    <w:div w:id="1587301497">
      <w:bodyDiv w:val="1"/>
      <w:marLeft w:val="0"/>
      <w:marRight w:val="0"/>
      <w:marTop w:val="0"/>
      <w:marBottom w:val="0"/>
      <w:divBdr>
        <w:top w:val="none" w:sz="0" w:space="0" w:color="auto"/>
        <w:left w:val="none" w:sz="0" w:space="0" w:color="auto"/>
        <w:bottom w:val="none" w:sz="0" w:space="0" w:color="auto"/>
        <w:right w:val="none" w:sz="0" w:space="0" w:color="auto"/>
      </w:divBdr>
    </w:div>
    <w:div w:id="1593125597">
      <w:bodyDiv w:val="1"/>
      <w:marLeft w:val="0"/>
      <w:marRight w:val="0"/>
      <w:marTop w:val="0"/>
      <w:marBottom w:val="0"/>
      <w:divBdr>
        <w:top w:val="none" w:sz="0" w:space="0" w:color="auto"/>
        <w:left w:val="none" w:sz="0" w:space="0" w:color="auto"/>
        <w:bottom w:val="none" w:sz="0" w:space="0" w:color="auto"/>
        <w:right w:val="none" w:sz="0" w:space="0" w:color="auto"/>
      </w:divBdr>
    </w:div>
    <w:div w:id="1599366012">
      <w:bodyDiv w:val="1"/>
      <w:marLeft w:val="0"/>
      <w:marRight w:val="0"/>
      <w:marTop w:val="0"/>
      <w:marBottom w:val="0"/>
      <w:divBdr>
        <w:top w:val="none" w:sz="0" w:space="0" w:color="auto"/>
        <w:left w:val="none" w:sz="0" w:space="0" w:color="auto"/>
        <w:bottom w:val="none" w:sz="0" w:space="0" w:color="auto"/>
        <w:right w:val="none" w:sz="0" w:space="0" w:color="auto"/>
      </w:divBdr>
    </w:div>
    <w:div w:id="1646861729">
      <w:bodyDiv w:val="1"/>
      <w:marLeft w:val="0"/>
      <w:marRight w:val="0"/>
      <w:marTop w:val="0"/>
      <w:marBottom w:val="0"/>
      <w:divBdr>
        <w:top w:val="none" w:sz="0" w:space="0" w:color="auto"/>
        <w:left w:val="none" w:sz="0" w:space="0" w:color="auto"/>
        <w:bottom w:val="none" w:sz="0" w:space="0" w:color="auto"/>
        <w:right w:val="none" w:sz="0" w:space="0" w:color="auto"/>
      </w:divBdr>
    </w:div>
    <w:div w:id="1733427966">
      <w:bodyDiv w:val="1"/>
      <w:marLeft w:val="0"/>
      <w:marRight w:val="0"/>
      <w:marTop w:val="0"/>
      <w:marBottom w:val="0"/>
      <w:divBdr>
        <w:top w:val="none" w:sz="0" w:space="0" w:color="auto"/>
        <w:left w:val="none" w:sz="0" w:space="0" w:color="auto"/>
        <w:bottom w:val="none" w:sz="0" w:space="0" w:color="auto"/>
        <w:right w:val="none" w:sz="0" w:space="0" w:color="auto"/>
      </w:divBdr>
      <w:divsChild>
        <w:div w:id="1502117673">
          <w:marLeft w:val="0"/>
          <w:marRight w:val="0"/>
          <w:marTop w:val="0"/>
          <w:marBottom w:val="0"/>
          <w:divBdr>
            <w:top w:val="none" w:sz="0" w:space="0" w:color="auto"/>
            <w:left w:val="none" w:sz="0" w:space="0" w:color="auto"/>
            <w:bottom w:val="none" w:sz="0" w:space="0" w:color="auto"/>
            <w:right w:val="none" w:sz="0" w:space="0" w:color="auto"/>
          </w:divBdr>
          <w:divsChild>
            <w:div w:id="225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8575">
      <w:bodyDiv w:val="1"/>
      <w:marLeft w:val="0"/>
      <w:marRight w:val="0"/>
      <w:marTop w:val="0"/>
      <w:marBottom w:val="0"/>
      <w:divBdr>
        <w:top w:val="none" w:sz="0" w:space="0" w:color="auto"/>
        <w:left w:val="none" w:sz="0" w:space="0" w:color="auto"/>
        <w:bottom w:val="none" w:sz="0" w:space="0" w:color="auto"/>
        <w:right w:val="none" w:sz="0" w:space="0" w:color="auto"/>
      </w:divBdr>
    </w:div>
    <w:div w:id="1786000182">
      <w:bodyDiv w:val="1"/>
      <w:marLeft w:val="0"/>
      <w:marRight w:val="0"/>
      <w:marTop w:val="0"/>
      <w:marBottom w:val="0"/>
      <w:divBdr>
        <w:top w:val="none" w:sz="0" w:space="0" w:color="auto"/>
        <w:left w:val="none" w:sz="0" w:space="0" w:color="auto"/>
        <w:bottom w:val="none" w:sz="0" w:space="0" w:color="auto"/>
        <w:right w:val="none" w:sz="0" w:space="0" w:color="auto"/>
      </w:divBdr>
    </w:div>
    <w:div w:id="1789927225">
      <w:bodyDiv w:val="1"/>
      <w:marLeft w:val="0"/>
      <w:marRight w:val="0"/>
      <w:marTop w:val="0"/>
      <w:marBottom w:val="0"/>
      <w:divBdr>
        <w:top w:val="none" w:sz="0" w:space="0" w:color="auto"/>
        <w:left w:val="none" w:sz="0" w:space="0" w:color="auto"/>
        <w:bottom w:val="none" w:sz="0" w:space="0" w:color="auto"/>
        <w:right w:val="none" w:sz="0" w:space="0" w:color="auto"/>
      </w:divBdr>
    </w:div>
    <w:div w:id="1818573392">
      <w:bodyDiv w:val="1"/>
      <w:marLeft w:val="0"/>
      <w:marRight w:val="0"/>
      <w:marTop w:val="0"/>
      <w:marBottom w:val="0"/>
      <w:divBdr>
        <w:top w:val="none" w:sz="0" w:space="0" w:color="auto"/>
        <w:left w:val="none" w:sz="0" w:space="0" w:color="auto"/>
        <w:bottom w:val="none" w:sz="0" w:space="0" w:color="auto"/>
        <w:right w:val="none" w:sz="0" w:space="0" w:color="auto"/>
      </w:divBdr>
    </w:div>
    <w:div w:id="1871717854">
      <w:bodyDiv w:val="1"/>
      <w:marLeft w:val="0"/>
      <w:marRight w:val="0"/>
      <w:marTop w:val="0"/>
      <w:marBottom w:val="0"/>
      <w:divBdr>
        <w:top w:val="none" w:sz="0" w:space="0" w:color="auto"/>
        <w:left w:val="none" w:sz="0" w:space="0" w:color="auto"/>
        <w:bottom w:val="none" w:sz="0" w:space="0" w:color="auto"/>
        <w:right w:val="none" w:sz="0" w:space="0" w:color="auto"/>
      </w:divBdr>
    </w:div>
    <w:div w:id="1925720139">
      <w:bodyDiv w:val="1"/>
      <w:marLeft w:val="0"/>
      <w:marRight w:val="0"/>
      <w:marTop w:val="0"/>
      <w:marBottom w:val="0"/>
      <w:divBdr>
        <w:top w:val="none" w:sz="0" w:space="0" w:color="auto"/>
        <w:left w:val="none" w:sz="0" w:space="0" w:color="auto"/>
        <w:bottom w:val="none" w:sz="0" w:space="0" w:color="auto"/>
        <w:right w:val="none" w:sz="0" w:space="0" w:color="auto"/>
      </w:divBdr>
    </w:div>
    <w:div w:id="1930693268">
      <w:bodyDiv w:val="1"/>
      <w:marLeft w:val="0"/>
      <w:marRight w:val="0"/>
      <w:marTop w:val="0"/>
      <w:marBottom w:val="0"/>
      <w:divBdr>
        <w:top w:val="none" w:sz="0" w:space="0" w:color="auto"/>
        <w:left w:val="none" w:sz="0" w:space="0" w:color="auto"/>
        <w:bottom w:val="none" w:sz="0" w:space="0" w:color="auto"/>
        <w:right w:val="none" w:sz="0" w:space="0" w:color="auto"/>
      </w:divBdr>
    </w:div>
    <w:div w:id="1935240014">
      <w:bodyDiv w:val="1"/>
      <w:marLeft w:val="0"/>
      <w:marRight w:val="0"/>
      <w:marTop w:val="0"/>
      <w:marBottom w:val="0"/>
      <w:divBdr>
        <w:top w:val="none" w:sz="0" w:space="0" w:color="auto"/>
        <w:left w:val="none" w:sz="0" w:space="0" w:color="auto"/>
        <w:bottom w:val="none" w:sz="0" w:space="0" w:color="auto"/>
        <w:right w:val="none" w:sz="0" w:space="0" w:color="auto"/>
      </w:divBdr>
    </w:div>
    <w:div w:id="1941139187">
      <w:marLeft w:val="0"/>
      <w:marRight w:val="0"/>
      <w:marTop w:val="0"/>
      <w:marBottom w:val="0"/>
      <w:divBdr>
        <w:top w:val="none" w:sz="0" w:space="0" w:color="auto"/>
        <w:left w:val="none" w:sz="0" w:space="0" w:color="auto"/>
        <w:bottom w:val="none" w:sz="0" w:space="0" w:color="auto"/>
        <w:right w:val="none" w:sz="0" w:space="0" w:color="auto"/>
      </w:divBdr>
      <w:divsChild>
        <w:div w:id="676807220">
          <w:marLeft w:val="0"/>
          <w:marRight w:val="0"/>
          <w:marTop w:val="0"/>
          <w:marBottom w:val="0"/>
          <w:divBdr>
            <w:top w:val="none" w:sz="0" w:space="0" w:color="auto"/>
            <w:left w:val="none" w:sz="0" w:space="0" w:color="auto"/>
            <w:bottom w:val="none" w:sz="0" w:space="0" w:color="auto"/>
            <w:right w:val="none" w:sz="0" w:space="0" w:color="auto"/>
          </w:divBdr>
          <w:divsChild>
            <w:div w:id="1116947338">
              <w:marLeft w:val="0"/>
              <w:marRight w:val="0"/>
              <w:marTop w:val="0"/>
              <w:marBottom w:val="0"/>
              <w:divBdr>
                <w:top w:val="none" w:sz="0" w:space="0" w:color="auto"/>
                <w:left w:val="none" w:sz="0" w:space="0" w:color="auto"/>
                <w:bottom w:val="none" w:sz="0" w:space="0" w:color="auto"/>
                <w:right w:val="none" w:sz="0" w:space="0" w:color="auto"/>
              </w:divBdr>
              <w:divsChild>
                <w:div w:id="12222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44645">
      <w:bodyDiv w:val="1"/>
      <w:marLeft w:val="0"/>
      <w:marRight w:val="0"/>
      <w:marTop w:val="0"/>
      <w:marBottom w:val="0"/>
      <w:divBdr>
        <w:top w:val="none" w:sz="0" w:space="0" w:color="auto"/>
        <w:left w:val="none" w:sz="0" w:space="0" w:color="auto"/>
        <w:bottom w:val="none" w:sz="0" w:space="0" w:color="auto"/>
        <w:right w:val="none" w:sz="0" w:space="0" w:color="auto"/>
      </w:divBdr>
    </w:div>
    <w:div w:id="1961378092">
      <w:bodyDiv w:val="1"/>
      <w:marLeft w:val="0"/>
      <w:marRight w:val="0"/>
      <w:marTop w:val="0"/>
      <w:marBottom w:val="0"/>
      <w:divBdr>
        <w:top w:val="none" w:sz="0" w:space="0" w:color="auto"/>
        <w:left w:val="none" w:sz="0" w:space="0" w:color="auto"/>
        <w:bottom w:val="none" w:sz="0" w:space="0" w:color="auto"/>
        <w:right w:val="none" w:sz="0" w:space="0" w:color="auto"/>
      </w:divBdr>
      <w:divsChild>
        <w:div w:id="1242062207">
          <w:marLeft w:val="0"/>
          <w:marRight w:val="0"/>
          <w:marTop w:val="0"/>
          <w:marBottom w:val="0"/>
          <w:divBdr>
            <w:top w:val="none" w:sz="0" w:space="0" w:color="auto"/>
            <w:left w:val="none" w:sz="0" w:space="0" w:color="auto"/>
            <w:bottom w:val="none" w:sz="0" w:space="0" w:color="auto"/>
            <w:right w:val="none" w:sz="0" w:space="0" w:color="auto"/>
          </w:divBdr>
        </w:div>
      </w:divsChild>
    </w:div>
    <w:div w:id="1983653937">
      <w:bodyDiv w:val="1"/>
      <w:marLeft w:val="0"/>
      <w:marRight w:val="0"/>
      <w:marTop w:val="0"/>
      <w:marBottom w:val="0"/>
      <w:divBdr>
        <w:top w:val="none" w:sz="0" w:space="0" w:color="auto"/>
        <w:left w:val="none" w:sz="0" w:space="0" w:color="auto"/>
        <w:bottom w:val="none" w:sz="0" w:space="0" w:color="auto"/>
        <w:right w:val="none" w:sz="0" w:space="0" w:color="auto"/>
      </w:divBdr>
    </w:div>
    <w:div w:id="1990741604">
      <w:bodyDiv w:val="1"/>
      <w:marLeft w:val="0"/>
      <w:marRight w:val="0"/>
      <w:marTop w:val="0"/>
      <w:marBottom w:val="0"/>
      <w:divBdr>
        <w:top w:val="none" w:sz="0" w:space="0" w:color="auto"/>
        <w:left w:val="none" w:sz="0" w:space="0" w:color="auto"/>
        <w:bottom w:val="none" w:sz="0" w:space="0" w:color="auto"/>
        <w:right w:val="none" w:sz="0" w:space="0" w:color="auto"/>
      </w:divBdr>
      <w:divsChild>
        <w:div w:id="164789720">
          <w:marLeft w:val="0"/>
          <w:marRight w:val="0"/>
          <w:marTop w:val="0"/>
          <w:marBottom w:val="0"/>
          <w:divBdr>
            <w:top w:val="none" w:sz="0" w:space="0" w:color="auto"/>
            <w:left w:val="none" w:sz="0" w:space="0" w:color="auto"/>
            <w:bottom w:val="none" w:sz="0" w:space="0" w:color="auto"/>
            <w:right w:val="none" w:sz="0" w:space="0" w:color="auto"/>
          </w:divBdr>
          <w:divsChild>
            <w:div w:id="907887020">
              <w:marLeft w:val="0"/>
              <w:marRight w:val="0"/>
              <w:marTop w:val="0"/>
              <w:marBottom w:val="0"/>
              <w:divBdr>
                <w:top w:val="none" w:sz="0" w:space="0" w:color="auto"/>
                <w:left w:val="none" w:sz="0" w:space="0" w:color="auto"/>
                <w:bottom w:val="none" w:sz="0" w:space="0" w:color="auto"/>
                <w:right w:val="none" w:sz="0" w:space="0" w:color="auto"/>
              </w:divBdr>
              <w:divsChild>
                <w:div w:id="403990907">
                  <w:marLeft w:val="0"/>
                  <w:marRight w:val="0"/>
                  <w:marTop w:val="0"/>
                  <w:marBottom w:val="0"/>
                  <w:divBdr>
                    <w:top w:val="none" w:sz="0" w:space="0" w:color="auto"/>
                    <w:left w:val="none" w:sz="0" w:space="0" w:color="auto"/>
                    <w:bottom w:val="none" w:sz="0" w:space="0" w:color="auto"/>
                    <w:right w:val="none" w:sz="0" w:space="0" w:color="auto"/>
                  </w:divBdr>
                  <w:divsChild>
                    <w:div w:id="1810828930">
                      <w:marLeft w:val="0"/>
                      <w:marRight w:val="0"/>
                      <w:marTop w:val="0"/>
                      <w:marBottom w:val="0"/>
                      <w:divBdr>
                        <w:top w:val="none" w:sz="0" w:space="0" w:color="auto"/>
                        <w:left w:val="none" w:sz="0" w:space="0" w:color="auto"/>
                        <w:bottom w:val="none" w:sz="0" w:space="0" w:color="auto"/>
                        <w:right w:val="none" w:sz="0" w:space="0" w:color="auto"/>
                      </w:divBdr>
                      <w:divsChild>
                        <w:div w:id="1472790964">
                          <w:marLeft w:val="0"/>
                          <w:marRight w:val="0"/>
                          <w:marTop w:val="0"/>
                          <w:marBottom w:val="0"/>
                          <w:divBdr>
                            <w:top w:val="none" w:sz="0" w:space="0" w:color="auto"/>
                            <w:left w:val="none" w:sz="0" w:space="0" w:color="auto"/>
                            <w:bottom w:val="none" w:sz="0" w:space="0" w:color="auto"/>
                            <w:right w:val="none" w:sz="0" w:space="0" w:color="auto"/>
                          </w:divBdr>
                          <w:divsChild>
                            <w:div w:id="1755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58906">
      <w:bodyDiv w:val="1"/>
      <w:marLeft w:val="0"/>
      <w:marRight w:val="0"/>
      <w:marTop w:val="0"/>
      <w:marBottom w:val="0"/>
      <w:divBdr>
        <w:top w:val="none" w:sz="0" w:space="0" w:color="auto"/>
        <w:left w:val="none" w:sz="0" w:space="0" w:color="auto"/>
        <w:bottom w:val="none" w:sz="0" w:space="0" w:color="auto"/>
        <w:right w:val="none" w:sz="0" w:space="0" w:color="auto"/>
      </w:divBdr>
    </w:div>
    <w:div w:id="212121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fs01\Company\Financije\Plan%20i%20analiza\Rebalans%202022%20III\tekst\Prihodi.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Radni_list_programa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Prihodi</a:t>
            </a:r>
            <a:r>
              <a:rPr lang="hr-HR" baseline="0"/>
              <a:t> i primici</a:t>
            </a:r>
            <a:endParaRPr lang="hr-HR"/>
          </a:p>
        </c:rich>
      </c:tx>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E3-410D-AA87-3768EF5E78F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E3-410D-AA87-3768EF5E78F1}"/>
              </c:ext>
            </c:extLst>
          </c:dPt>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List1!$B$17:$C$17</c:f>
              <c:strCache>
                <c:ptCount val="2"/>
                <c:pt idx="0">
                  <c:v>ISTARSKA ŽUPANIJA </c:v>
                </c:pt>
                <c:pt idx="1">
                  <c:v>PRORAČUNSKI KORISNICI</c:v>
                </c:pt>
              </c:strCache>
            </c:strRef>
          </c:cat>
          <c:val>
            <c:numRef>
              <c:f>List1!$B$18:$C$18</c:f>
              <c:numCache>
                <c:formatCode>#,##0.00</c:formatCode>
                <c:ptCount val="2"/>
                <c:pt idx="0">
                  <c:v>453460809.06999999</c:v>
                </c:pt>
                <c:pt idx="1">
                  <c:v>1301539190.9299998</c:v>
                </c:pt>
              </c:numCache>
            </c:numRef>
          </c:val>
          <c:extLst>
            <c:ext xmlns:c16="http://schemas.microsoft.com/office/drawing/2014/chart" uri="{C3380CC4-5D6E-409C-BE32-E72D297353CC}">
              <c16:uniqueId val="{00000004-01E3-410D-AA87-3768EF5E78F1}"/>
            </c:ext>
          </c:extLst>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Ras</a:t>
            </a:r>
            <a:r>
              <a:rPr lang="hr-HR"/>
              <a:t>hodi i izdaci</a:t>
            </a:r>
            <a:endParaRPr lang="en-US"/>
          </a:p>
        </c:rich>
      </c:tx>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9C7-4FCD-8F27-50B10FAFDDB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9C7-4FCD-8F27-50B10FAFDDB9}"/>
              </c:ext>
            </c:extLst>
          </c:dPt>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List1!$B$22:$C$22</c:f>
              <c:strCache>
                <c:ptCount val="2"/>
                <c:pt idx="0">
                  <c:v>ISTARSKA ŽUPANIJA </c:v>
                </c:pt>
                <c:pt idx="1">
                  <c:v>PRORAČUNSKI KORISNICI</c:v>
                </c:pt>
              </c:strCache>
            </c:strRef>
          </c:cat>
          <c:val>
            <c:numRef>
              <c:f>List1!$B$23:$C$23</c:f>
              <c:numCache>
                <c:formatCode>#,##0.00</c:formatCode>
                <c:ptCount val="2"/>
                <c:pt idx="0">
                  <c:v>313255323.68000001</c:v>
                </c:pt>
                <c:pt idx="1">
                  <c:v>1441744676.3200002</c:v>
                </c:pt>
              </c:numCache>
            </c:numRef>
          </c:val>
          <c:extLst>
            <c:ext xmlns:c16="http://schemas.microsoft.com/office/drawing/2014/chart" uri="{C3380CC4-5D6E-409C-BE32-E72D297353CC}">
              <c16:uniqueId val="{00000004-89C7-4FCD-8F27-50B10FAFDDB9}"/>
            </c:ext>
          </c:extLst>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1176</TotalTime>
  <Pages>8</Pages>
  <Words>2702</Words>
  <Characters>18000</Characters>
  <Application>Microsoft Office Word</Application>
  <DocSecurity>0</DocSecurity>
  <Lines>150</Lines>
  <Paragraphs>41</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20661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Benčić Kirac</dc:creator>
  <cp:keywords/>
  <dc:description/>
  <cp:lastModifiedBy>Laura Peruško Hajnc</cp:lastModifiedBy>
  <cp:revision>72</cp:revision>
  <cp:lastPrinted>2022-05-13T08:15:00Z</cp:lastPrinted>
  <dcterms:created xsi:type="dcterms:W3CDTF">2020-10-29T09:01:00Z</dcterms:created>
  <dcterms:modified xsi:type="dcterms:W3CDTF">2022-11-29T10:09:00Z</dcterms:modified>
</cp:coreProperties>
</file>