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9B" w:rsidRPr="00E41D4A" w:rsidRDefault="00E41D4A" w:rsidP="00E41D4A">
      <w:pPr>
        <w:jc w:val="both"/>
        <w:rPr>
          <w:rFonts w:ascii="Arial" w:hAnsi="Arial"/>
          <w:b/>
          <w:szCs w:val="24"/>
          <w:u w:val="single"/>
        </w:rPr>
      </w:pPr>
      <w:r w:rsidRPr="00E41D4A">
        <w:rPr>
          <w:rFonts w:ascii="Arial" w:hAnsi="Arial"/>
          <w:b/>
          <w:szCs w:val="24"/>
          <w:u w:val="single"/>
        </w:rPr>
        <w:t>Utvrđivanje posebnih uvjeta zaštite prirode</w:t>
      </w:r>
    </w:p>
    <w:p w:rsidR="00E41D4A" w:rsidRPr="00932A9B" w:rsidRDefault="00E41D4A" w:rsidP="00E41D4A">
      <w:pPr>
        <w:jc w:val="both"/>
        <w:rPr>
          <w:rFonts w:ascii="Arial" w:hAnsi="Arial"/>
          <w:sz w:val="22"/>
        </w:rPr>
      </w:pPr>
    </w:p>
    <w:p w:rsidR="00932A9B" w:rsidRPr="00932A9B" w:rsidRDefault="00932A9B" w:rsidP="00E41D4A">
      <w:pPr>
        <w:jc w:val="both"/>
        <w:rPr>
          <w:rFonts w:ascii="Arial" w:hAnsi="Arial"/>
          <w:sz w:val="22"/>
        </w:rPr>
      </w:pPr>
      <w:r w:rsidRPr="00932A9B">
        <w:rPr>
          <w:rFonts w:ascii="Arial" w:hAnsi="Arial"/>
          <w:sz w:val="22"/>
        </w:rPr>
        <w:t>Obveza utvrđivanja uvjeta zaštite prirode</w:t>
      </w:r>
      <w:r w:rsidR="00E41D4A">
        <w:rPr>
          <w:rFonts w:ascii="Arial" w:hAnsi="Arial"/>
          <w:sz w:val="22"/>
        </w:rPr>
        <w:t xml:space="preserve"> na području Istarske županije </w:t>
      </w:r>
      <w:r w:rsidRPr="00932A9B">
        <w:rPr>
          <w:rFonts w:ascii="Arial" w:hAnsi="Arial"/>
          <w:sz w:val="22"/>
        </w:rPr>
        <w:t>propisana je Odsjeku za zaštitu prirode i okoliša pri Upravnom odjelu za održivi</w:t>
      </w:r>
      <w:r w:rsidR="00E41D4A">
        <w:rPr>
          <w:rFonts w:ascii="Arial" w:hAnsi="Arial"/>
          <w:sz w:val="22"/>
        </w:rPr>
        <w:t xml:space="preserve"> </w:t>
      </w:r>
      <w:r w:rsidR="00E41D4A" w:rsidRPr="00932A9B">
        <w:rPr>
          <w:rFonts w:ascii="Arial" w:hAnsi="Arial"/>
          <w:sz w:val="22"/>
        </w:rPr>
        <w:t>razvoj</w:t>
      </w:r>
      <w:r w:rsidR="00E41D4A">
        <w:rPr>
          <w:rFonts w:ascii="Arial" w:hAnsi="Arial"/>
          <w:sz w:val="22"/>
        </w:rPr>
        <w:t xml:space="preserve"> Istarske županije</w:t>
      </w:r>
      <w:r w:rsidRPr="00932A9B">
        <w:rPr>
          <w:rFonts w:ascii="Arial" w:hAnsi="Arial"/>
          <w:sz w:val="22"/>
        </w:rPr>
        <w:t xml:space="preserve"> člankom 23., stavkom</w:t>
      </w:r>
      <w:r w:rsidR="00E41D4A">
        <w:rPr>
          <w:rFonts w:ascii="Arial" w:hAnsi="Arial"/>
          <w:sz w:val="22"/>
        </w:rPr>
        <w:t xml:space="preserve"> 2. Zakona o zaštiti prirode („Narodne novine“, broj</w:t>
      </w:r>
      <w:r w:rsidRPr="00932A9B">
        <w:rPr>
          <w:rFonts w:ascii="Arial" w:hAnsi="Arial"/>
          <w:sz w:val="22"/>
        </w:rPr>
        <w:t xml:space="preserve"> </w:t>
      </w:r>
      <w:hyperlink r:id="rId7" w:history="1">
        <w:r w:rsidR="00F7051F" w:rsidRPr="000C6133">
          <w:rPr>
            <w:rStyle w:val="Hiperveza"/>
            <w:rFonts w:ascii="Arial" w:hAnsi="Arial"/>
            <w:sz w:val="22"/>
          </w:rPr>
          <w:t>80/13</w:t>
        </w:r>
      </w:hyperlink>
      <w:r w:rsidRPr="00932A9B">
        <w:rPr>
          <w:rFonts w:ascii="Arial" w:hAnsi="Arial"/>
          <w:sz w:val="22"/>
        </w:rPr>
        <w:t>):</w:t>
      </w:r>
    </w:p>
    <w:p w:rsidR="00932A9B" w:rsidRPr="00932A9B" w:rsidRDefault="00932A9B" w:rsidP="00E41D4A">
      <w:pPr>
        <w:jc w:val="both"/>
        <w:rPr>
          <w:rFonts w:ascii="Arial" w:hAnsi="Arial"/>
          <w:sz w:val="22"/>
        </w:rPr>
      </w:pPr>
    </w:p>
    <w:p w:rsidR="00932A9B" w:rsidRPr="00D75ED3" w:rsidRDefault="00932A9B" w:rsidP="00E41D4A">
      <w:pPr>
        <w:jc w:val="both"/>
        <w:rPr>
          <w:rFonts w:ascii="Arial" w:hAnsi="Arial" w:cs="Arial"/>
          <w:i/>
          <w:sz w:val="20"/>
        </w:rPr>
      </w:pPr>
      <w:r w:rsidRPr="00D75ED3">
        <w:rPr>
          <w:rFonts w:ascii="Arial" w:hAnsi="Arial" w:cs="Arial"/>
          <w:i/>
          <w:sz w:val="20"/>
        </w:rPr>
        <w:t>Članak 23.</w:t>
      </w:r>
    </w:p>
    <w:p w:rsidR="00E41D4A" w:rsidRPr="00D75ED3" w:rsidRDefault="00932A9B" w:rsidP="00E41D4A">
      <w:pPr>
        <w:pStyle w:val="Odlomakpopisa"/>
        <w:numPr>
          <w:ilvl w:val="0"/>
          <w:numId w:val="13"/>
        </w:numPr>
        <w:jc w:val="both"/>
        <w:rPr>
          <w:rFonts w:ascii="Arial" w:hAnsi="Arial" w:cs="Arial"/>
          <w:b/>
          <w:i/>
          <w:sz w:val="20"/>
          <w:u w:val="single"/>
        </w:rPr>
      </w:pPr>
      <w:r w:rsidRPr="00D75ED3">
        <w:rPr>
          <w:rFonts w:ascii="Arial" w:hAnsi="Arial" w:cs="Arial"/>
          <w:i/>
          <w:sz w:val="20"/>
        </w:rPr>
        <w:t>Ministarstvo utvrđuje uvjete zaštite prirode prije pokretanja postupka lokacijske dozvole ili tijekom postupka izdavanja lokacijske dozvole za zahvate izvan granica građevinskog područja za građevine za koje središnje tijelo državne uprave nadležno za poslove prostornog uređenja i graditeljstva izdaje lokacijsku dozvolu prema posebnom propisu kojim se uređuje prostorno uređenje.</w:t>
      </w:r>
    </w:p>
    <w:p w:rsidR="00932A9B" w:rsidRPr="00D75ED3" w:rsidRDefault="00932A9B" w:rsidP="00E41D4A">
      <w:pPr>
        <w:pStyle w:val="Odlomakpopisa"/>
        <w:numPr>
          <w:ilvl w:val="0"/>
          <w:numId w:val="13"/>
        </w:numPr>
        <w:jc w:val="both"/>
        <w:rPr>
          <w:rFonts w:ascii="Arial" w:hAnsi="Arial" w:cs="Arial"/>
          <w:b/>
          <w:i/>
          <w:sz w:val="20"/>
          <w:u w:val="single"/>
        </w:rPr>
      </w:pPr>
      <w:r w:rsidRPr="00D75ED3">
        <w:rPr>
          <w:rFonts w:ascii="Arial" w:hAnsi="Arial" w:cs="Arial"/>
          <w:b/>
          <w:i/>
          <w:sz w:val="20"/>
          <w:u w:val="single"/>
        </w:rPr>
        <w:t>Upravno tijelo utvrđuje uvjete zaštite prirode prije pokretanja postupka lokacijske dozvole ili tijekom postupka izdavanja lokacijske dozvole za zahvate izvan granica građevinskog područja, osim zahvata iz stavka 1. ovoga članka.</w:t>
      </w:r>
    </w:p>
    <w:p w:rsidR="00932A9B" w:rsidRPr="00932A9B" w:rsidRDefault="00932A9B" w:rsidP="00E41D4A">
      <w:pPr>
        <w:rPr>
          <w:rFonts w:ascii="Arial" w:hAnsi="Arial" w:cs="Arial"/>
          <w:i/>
          <w:sz w:val="18"/>
          <w:szCs w:val="24"/>
        </w:rPr>
      </w:pPr>
    </w:p>
    <w:p w:rsidR="00932A9B" w:rsidRPr="00932A9B" w:rsidRDefault="00932A9B" w:rsidP="00E41D4A">
      <w:pPr>
        <w:jc w:val="both"/>
        <w:rPr>
          <w:rFonts w:ascii="Arial" w:hAnsi="Arial"/>
          <w:sz w:val="22"/>
        </w:rPr>
      </w:pPr>
      <w:r w:rsidRPr="00932A9B">
        <w:rPr>
          <w:rFonts w:ascii="Arial" w:hAnsi="Arial"/>
          <w:sz w:val="22"/>
        </w:rPr>
        <w:t>Spomenuti zakon stupio je na snagu 07.</w:t>
      </w:r>
      <w:r w:rsidR="000B1245">
        <w:rPr>
          <w:rFonts w:ascii="Arial" w:hAnsi="Arial"/>
          <w:sz w:val="22"/>
        </w:rPr>
        <w:t xml:space="preserve"> </w:t>
      </w:r>
      <w:r w:rsidRPr="00932A9B">
        <w:rPr>
          <w:rFonts w:ascii="Arial" w:hAnsi="Arial"/>
          <w:sz w:val="22"/>
        </w:rPr>
        <w:t>srpnja 2013. godine te nakon toga nisu donesene izmjene i dopune koje bi predmetnu odredbu u</w:t>
      </w:r>
      <w:r w:rsidR="00E41D4A">
        <w:rPr>
          <w:rFonts w:ascii="Arial" w:hAnsi="Arial"/>
          <w:sz w:val="22"/>
        </w:rPr>
        <w:t>skladile s Zakonom o gradnji („Narodne novine“, broj</w:t>
      </w:r>
      <w:r w:rsidRPr="00932A9B">
        <w:rPr>
          <w:rFonts w:ascii="Arial" w:hAnsi="Arial"/>
          <w:sz w:val="22"/>
        </w:rPr>
        <w:t xml:space="preserve"> </w:t>
      </w:r>
      <w:hyperlink r:id="rId8" w:history="1">
        <w:r w:rsidRPr="000C6133">
          <w:rPr>
            <w:rStyle w:val="Hiperveza"/>
            <w:rFonts w:ascii="Arial" w:hAnsi="Arial"/>
            <w:sz w:val="22"/>
          </w:rPr>
          <w:t>153/13</w:t>
        </w:r>
      </w:hyperlink>
      <w:r w:rsidR="00E41D4A">
        <w:rPr>
          <w:rFonts w:ascii="Arial" w:hAnsi="Arial"/>
          <w:sz w:val="22"/>
        </w:rPr>
        <w:t xml:space="preserve"> i </w:t>
      </w:r>
      <w:hyperlink r:id="rId9" w:history="1">
        <w:r w:rsidR="00E41D4A" w:rsidRPr="000C6133">
          <w:rPr>
            <w:rStyle w:val="Hiperveza"/>
            <w:rFonts w:ascii="Arial" w:hAnsi="Arial"/>
            <w:sz w:val="22"/>
          </w:rPr>
          <w:t>20/17</w:t>
        </w:r>
      </w:hyperlink>
      <w:r w:rsidRPr="00932A9B">
        <w:rPr>
          <w:rFonts w:ascii="Arial" w:hAnsi="Arial"/>
          <w:sz w:val="22"/>
        </w:rPr>
        <w:t>) te Zakonom o prostornom uređenju (</w:t>
      </w:r>
      <w:r w:rsidR="00E41D4A">
        <w:rPr>
          <w:rFonts w:ascii="Arial" w:hAnsi="Arial"/>
          <w:sz w:val="22"/>
        </w:rPr>
        <w:t xml:space="preserve">„Narodne novine“, broj </w:t>
      </w:r>
      <w:hyperlink r:id="rId10" w:history="1">
        <w:r w:rsidR="00E41D4A" w:rsidRPr="000C6133">
          <w:rPr>
            <w:rStyle w:val="Hiperveza"/>
            <w:rFonts w:ascii="Arial" w:hAnsi="Arial"/>
            <w:sz w:val="22"/>
          </w:rPr>
          <w:t>1</w:t>
        </w:r>
        <w:r w:rsidRPr="000C6133">
          <w:rPr>
            <w:rStyle w:val="Hiperveza"/>
            <w:rFonts w:ascii="Arial" w:hAnsi="Arial"/>
            <w:sz w:val="22"/>
          </w:rPr>
          <w:t>53/</w:t>
        </w:r>
        <w:r w:rsidR="00E41D4A" w:rsidRPr="000C6133">
          <w:rPr>
            <w:rStyle w:val="Hiperveza"/>
            <w:rFonts w:ascii="Arial" w:hAnsi="Arial"/>
            <w:sz w:val="22"/>
          </w:rPr>
          <w:t>13</w:t>
        </w:r>
      </w:hyperlink>
      <w:r w:rsidRPr="00932A9B">
        <w:rPr>
          <w:rFonts w:ascii="Arial" w:hAnsi="Arial"/>
          <w:sz w:val="22"/>
        </w:rPr>
        <w:t xml:space="preserve">) koji su stupili na snagu 01. siječnja 2014. godine, </w:t>
      </w:r>
      <w:r w:rsidR="00E41D4A">
        <w:rPr>
          <w:rFonts w:ascii="Arial" w:hAnsi="Arial"/>
          <w:sz w:val="22"/>
        </w:rPr>
        <w:t xml:space="preserve">a čijim stupanjem je van snage stavljen </w:t>
      </w:r>
      <w:r w:rsidRPr="00932A9B">
        <w:rPr>
          <w:rFonts w:ascii="Arial" w:hAnsi="Arial"/>
          <w:sz w:val="22"/>
        </w:rPr>
        <w:t xml:space="preserve">Zakon o prostornom uređenju i gradnji </w:t>
      </w:r>
      <w:r w:rsidR="00E41D4A">
        <w:rPr>
          <w:rFonts w:ascii="Arial" w:hAnsi="Arial"/>
          <w:sz w:val="22"/>
        </w:rPr>
        <w:t xml:space="preserve">(„Narodne novine“, broj </w:t>
      </w:r>
      <w:r w:rsidR="00E41D4A" w:rsidRPr="00E41D4A">
        <w:rPr>
          <w:rFonts w:ascii="Arial" w:hAnsi="Arial"/>
          <w:sz w:val="22"/>
        </w:rPr>
        <w:t>76/07,</w:t>
      </w:r>
      <w:r w:rsidR="00E41D4A" w:rsidRPr="00E41D4A">
        <w:rPr>
          <w:sz w:val="22"/>
        </w:rPr>
        <w:t> </w:t>
      </w:r>
      <w:r w:rsidR="00E41D4A" w:rsidRPr="00E41D4A">
        <w:rPr>
          <w:rFonts w:ascii="Arial" w:hAnsi="Arial"/>
          <w:sz w:val="22"/>
        </w:rPr>
        <w:t>38/09,</w:t>
      </w:r>
      <w:r w:rsidR="00E41D4A" w:rsidRPr="00E41D4A">
        <w:rPr>
          <w:sz w:val="22"/>
        </w:rPr>
        <w:t> </w:t>
      </w:r>
      <w:r w:rsidR="00E41D4A" w:rsidRPr="00E41D4A">
        <w:rPr>
          <w:rFonts w:ascii="Arial" w:hAnsi="Arial"/>
          <w:sz w:val="22"/>
        </w:rPr>
        <w:t>55/11,</w:t>
      </w:r>
      <w:r w:rsidR="00E41D4A" w:rsidRPr="00E41D4A">
        <w:rPr>
          <w:sz w:val="22"/>
        </w:rPr>
        <w:t> </w:t>
      </w:r>
      <w:r w:rsidR="00E41D4A" w:rsidRPr="00E41D4A">
        <w:rPr>
          <w:rFonts w:ascii="Arial" w:hAnsi="Arial"/>
          <w:sz w:val="22"/>
        </w:rPr>
        <w:t>90/11,</w:t>
      </w:r>
      <w:r w:rsidR="00E41D4A" w:rsidRPr="00E41D4A">
        <w:rPr>
          <w:sz w:val="22"/>
        </w:rPr>
        <w:t> </w:t>
      </w:r>
      <w:r w:rsidR="00E41D4A" w:rsidRPr="00E41D4A">
        <w:rPr>
          <w:rFonts w:ascii="Arial" w:hAnsi="Arial"/>
          <w:sz w:val="22"/>
        </w:rPr>
        <w:t>50/12,</w:t>
      </w:r>
      <w:r w:rsidR="00E41D4A" w:rsidRPr="00E41D4A">
        <w:rPr>
          <w:sz w:val="22"/>
        </w:rPr>
        <w:t> </w:t>
      </w:r>
      <w:r w:rsidR="00E41D4A" w:rsidRPr="00E41D4A">
        <w:rPr>
          <w:rFonts w:ascii="Arial" w:hAnsi="Arial"/>
          <w:sz w:val="22"/>
        </w:rPr>
        <w:t>55/12,</w:t>
      </w:r>
      <w:r w:rsidR="00E41D4A" w:rsidRPr="00E41D4A">
        <w:rPr>
          <w:sz w:val="22"/>
        </w:rPr>
        <w:t> </w:t>
      </w:r>
      <w:r w:rsidR="00E41D4A" w:rsidRPr="00E41D4A">
        <w:rPr>
          <w:rFonts w:ascii="Arial" w:hAnsi="Arial"/>
          <w:sz w:val="22"/>
        </w:rPr>
        <w:t>80/13,</w:t>
      </w:r>
      <w:r w:rsidR="00E41D4A" w:rsidRPr="00E41D4A">
        <w:rPr>
          <w:sz w:val="22"/>
        </w:rPr>
        <w:t> </w:t>
      </w:r>
      <w:r w:rsidR="00E41D4A" w:rsidRPr="00E41D4A">
        <w:rPr>
          <w:rFonts w:ascii="Arial" w:hAnsi="Arial"/>
          <w:sz w:val="22"/>
        </w:rPr>
        <w:t>78/15).</w:t>
      </w:r>
    </w:p>
    <w:p w:rsidR="00932A9B" w:rsidRPr="00932A9B" w:rsidRDefault="00932A9B" w:rsidP="00E41D4A">
      <w:pPr>
        <w:jc w:val="both"/>
        <w:rPr>
          <w:rFonts w:ascii="Arial" w:hAnsi="Arial"/>
          <w:sz w:val="22"/>
        </w:rPr>
      </w:pPr>
    </w:p>
    <w:p w:rsidR="00932A9B" w:rsidRPr="00932A9B" w:rsidRDefault="00932A9B" w:rsidP="00E41D4A">
      <w:pPr>
        <w:jc w:val="both"/>
        <w:rPr>
          <w:rFonts w:ascii="Arial" w:hAnsi="Arial"/>
          <w:sz w:val="22"/>
        </w:rPr>
      </w:pPr>
      <w:r w:rsidRPr="00932A9B">
        <w:rPr>
          <w:rFonts w:ascii="Arial" w:hAnsi="Arial"/>
          <w:sz w:val="22"/>
        </w:rPr>
        <w:t>Iako je novim propisom ukinuta obveza izdavanja lokacijske dozvole osim za:</w:t>
      </w:r>
    </w:p>
    <w:p w:rsidR="00932A9B" w:rsidRPr="00932A9B" w:rsidRDefault="00932A9B" w:rsidP="00E41D4A">
      <w:pPr>
        <w:jc w:val="both"/>
        <w:rPr>
          <w:rFonts w:ascii="Arial" w:hAnsi="Arial"/>
          <w:sz w:val="22"/>
        </w:rPr>
      </w:pP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 xml:space="preserve">eksploatacijsko polje, građenje rudarskih objekata i postrojenja koji su u funkciji izvođenja rudarskih radova, skladištenje ugljikovodika i trajno zbrinjavanje </w:t>
      </w:r>
      <w:r w:rsidR="00E41D4A">
        <w:rPr>
          <w:rFonts w:ascii="Arial" w:hAnsi="Arial"/>
          <w:sz w:val="22"/>
        </w:rPr>
        <w:t>plinova u geološkim strukturama;</w:t>
      </w: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određivanje novih voj</w:t>
      </w:r>
      <w:r w:rsidR="00E41D4A">
        <w:rPr>
          <w:rFonts w:ascii="Arial" w:hAnsi="Arial"/>
          <w:sz w:val="22"/>
        </w:rPr>
        <w:t>nih lokacija i vojnih građevina;</w:t>
      </w: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zahvate u prostoru koji se prema posebnim propisima koji uređuj</w:t>
      </w:r>
      <w:r w:rsidR="00E41D4A">
        <w:rPr>
          <w:rFonts w:ascii="Arial" w:hAnsi="Arial"/>
          <w:sz w:val="22"/>
        </w:rPr>
        <w:t>u gradnju ne smatraju građenjem;</w:t>
      </w: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etapno i/ili fazno građenje građevine i</w:t>
      </w:r>
    </w:p>
    <w:p w:rsidR="00932A9B" w:rsidRDefault="00932A9B" w:rsidP="00E41D4A">
      <w:pPr>
        <w:pStyle w:val="Odlomakpopisa"/>
        <w:numPr>
          <w:ilvl w:val="0"/>
          <w:numId w:val="11"/>
        </w:numPr>
        <w:jc w:val="both"/>
        <w:rPr>
          <w:rFonts w:ascii="Arial" w:hAnsi="Arial"/>
          <w:sz w:val="22"/>
        </w:rPr>
      </w:pPr>
      <w:r w:rsidRPr="00E41D4A">
        <w:rPr>
          <w:rFonts w:ascii="Arial" w:hAnsi="Arial"/>
          <w:sz w:val="22"/>
        </w:rPr>
        <w:t>građenje na zemljištu, odnosno građevini za koje investitor nije riješio imovinskopravne odnose ili za koje je potrebno provesti postupak iz</w:t>
      </w:r>
      <w:r w:rsidR="00E41D4A">
        <w:rPr>
          <w:rFonts w:ascii="Arial" w:hAnsi="Arial"/>
          <w:sz w:val="22"/>
        </w:rPr>
        <w:t>vlaštenja,</w:t>
      </w:r>
    </w:p>
    <w:p w:rsidR="00E41D4A" w:rsidRPr="00E41D4A" w:rsidRDefault="00E41D4A" w:rsidP="00E41D4A">
      <w:pPr>
        <w:pStyle w:val="Odlomakpopisa"/>
        <w:jc w:val="both"/>
        <w:rPr>
          <w:rFonts w:ascii="Arial" w:hAnsi="Arial"/>
          <w:sz w:val="22"/>
        </w:rPr>
      </w:pPr>
    </w:p>
    <w:p w:rsidR="00932A9B" w:rsidRPr="00932A9B" w:rsidRDefault="00932A9B" w:rsidP="00E41D4A">
      <w:pPr>
        <w:jc w:val="both"/>
        <w:rPr>
          <w:rFonts w:ascii="Arial" w:hAnsi="Arial"/>
          <w:sz w:val="22"/>
        </w:rPr>
      </w:pPr>
      <w:r w:rsidRPr="00932A9B">
        <w:rPr>
          <w:rFonts w:ascii="Arial" w:hAnsi="Arial"/>
          <w:sz w:val="22"/>
        </w:rPr>
        <w:t>unatoč neusklađenosti zakona, slijedeći analogiju, u postupcima ishođenja akata o gradnji o</w:t>
      </w:r>
      <w:r w:rsidR="0058317C">
        <w:rPr>
          <w:rFonts w:ascii="Arial" w:hAnsi="Arial"/>
          <w:sz w:val="22"/>
        </w:rPr>
        <w:t>vo upravno tijelo nadležno je</w:t>
      </w:r>
      <w:r w:rsidRPr="00932A9B">
        <w:rPr>
          <w:rFonts w:ascii="Arial" w:hAnsi="Arial"/>
          <w:sz w:val="22"/>
        </w:rPr>
        <w:t>:</w:t>
      </w:r>
    </w:p>
    <w:p w:rsidR="00932A9B" w:rsidRPr="00932A9B" w:rsidRDefault="00932A9B" w:rsidP="00E41D4A">
      <w:pPr>
        <w:jc w:val="both"/>
        <w:rPr>
          <w:rFonts w:ascii="Arial" w:hAnsi="Arial"/>
          <w:sz w:val="22"/>
        </w:rPr>
      </w:pP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 xml:space="preserve">prema </w:t>
      </w:r>
      <w:r w:rsidR="00E41D4A">
        <w:rPr>
          <w:rFonts w:ascii="Arial" w:hAnsi="Arial"/>
          <w:sz w:val="22"/>
        </w:rPr>
        <w:t>članku 81., Zakona o gradnji („Narodne novine“</w:t>
      </w:r>
      <w:r w:rsidRPr="00932A9B">
        <w:rPr>
          <w:rFonts w:ascii="Arial" w:hAnsi="Arial"/>
          <w:sz w:val="22"/>
        </w:rPr>
        <w:t xml:space="preserve">, </w:t>
      </w:r>
      <w:r w:rsidR="00E41D4A">
        <w:rPr>
          <w:rFonts w:ascii="Arial" w:hAnsi="Arial"/>
          <w:sz w:val="22"/>
        </w:rPr>
        <w:t xml:space="preserve">broj </w:t>
      </w:r>
      <w:hyperlink r:id="rId11" w:history="1">
        <w:r w:rsidR="00F7051F" w:rsidRPr="00F7051F">
          <w:rPr>
            <w:rStyle w:val="Hiperveza"/>
            <w:rFonts w:ascii="Arial" w:hAnsi="Arial"/>
            <w:sz w:val="22"/>
          </w:rPr>
          <w:t>153/13</w:t>
        </w:r>
      </w:hyperlink>
      <w:r w:rsidR="00F7051F" w:rsidRPr="00F7051F">
        <w:rPr>
          <w:rFonts w:ascii="Arial" w:hAnsi="Arial"/>
          <w:sz w:val="22"/>
        </w:rPr>
        <w:t xml:space="preserve"> i </w:t>
      </w:r>
      <w:hyperlink r:id="rId12" w:history="1">
        <w:r w:rsidR="00F7051F" w:rsidRPr="00F7051F">
          <w:rPr>
            <w:rStyle w:val="Hiperveza"/>
            <w:rFonts w:ascii="Arial" w:hAnsi="Arial"/>
            <w:sz w:val="22"/>
          </w:rPr>
          <w:t>20/17</w:t>
        </w:r>
      </w:hyperlink>
      <w:r w:rsidRPr="00932A9B">
        <w:rPr>
          <w:rFonts w:ascii="Arial" w:hAnsi="Arial"/>
          <w:sz w:val="22"/>
        </w:rPr>
        <w:t xml:space="preserve"> za UTVRĐIVANJE UVJETA ZAŠTITE PRIRODE za izradu glavnog projekta, prije pokretanja postupka za izdavanje građevinske dozvole za građenje građevina za koje se prem</w:t>
      </w:r>
      <w:r w:rsidR="00E41D4A">
        <w:rPr>
          <w:rFonts w:ascii="Arial" w:hAnsi="Arial"/>
          <w:sz w:val="22"/>
        </w:rPr>
        <w:t>a Zakonu o prostornom uređenju (</w:t>
      </w:r>
      <w:r w:rsidRPr="00932A9B">
        <w:rPr>
          <w:rFonts w:ascii="Arial" w:hAnsi="Arial"/>
          <w:sz w:val="22"/>
        </w:rPr>
        <w:t xml:space="preserve">„Narodne novine“, broj </w:t>
      </w:r>
      <w:hyperlink r:id="rId13" w:history="1">
        <w:r w:rsidR="00F7051F" w:rsidRPr="00F7051F">
          <w:rPr>
            <w:rStyle w:val="Hiperveza"/>
            <w:rFonts w:ascii="Arial" w:hAnsi="Arial"/>
            <w:sz w:val="22"/>
          </w:rPr>
          <w:t>153/13</w:t>
        </w:r>
      </w:hyperlink>
      <w:r w:rsidRPr="00932A9B">
        <w:rPr>
          <w:rFonts w:ascii="Arial" w:hAnsi="Arial"/>
          <w:sz w:val="22"/>
        </w:rPr>
        <w:t>) ne izdaje lokacijska dozvola</w:t>
      </w:r>
      <w:r w:rsidR="009A6AA3">
        <w:rPr>
          <w:rFonts w:ascii="Arial" w:hAnsi="Arial"/>
          <w:sz w:val="22"/>
        </w:rPr>
        <w:t>;</w:t>
      </w: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prema člancima 81. i 82., Zakona o gradnji (</w:t>
      </w:r>
      <w:r w:rsidR="00E41D4A">
        <w:rPr>
          <w:rFonts w:ascii="Arial" w:hAnsi="Arial"/>
          <w:sz w:val="22"/>
        </w:rPr>
        <w:t>„</w:t>
      </w:r>
      <w:r w:rsidRPr="00932A9B">
        <w:rPr>
          <w:rFonts w:ascii="Arial" w:hAnsi="Arial"/>
          <w:sz w:val="22"/>
        </w:rPr>
        <w:t>N</w:t>
      </w:r>
      <w:r w:rsidR="00E41D4A">
        <w:rPr>
          <w:rFonts w:ascii="Arial" w:hAnsi="Arial"/>
          <w:sz w:val="22"/>
        </w:rPr>
        <w:t>arodne novine“</w:t>
      </w:r>
      <w:r w:rsidRPr="00932A9B">
        <w:rPr>
          <w:rFonts w:ascii="Arial" w:hAnsi="Arial"/>
          <w:sz w:val="22"/>
        </w:rPr>
        <w:t>,</w:t>
      </w:r>
      <w:r w:rsidR="00E41D4A">
        <w:rPr>
          <w:rFonts w:ascii="Arial" w:hAnsi="Arial"/>
          <w:sz w:val="22"/>
        </w:rPr>
        <w:t xml:space="preserve"> broj</w:t>
      </w:r>
      <w:r w:rsidRPr="00932A9B">
        <w:rPr>
          <w:rFonts w:ascii="Arial" w:hAnsi="Arial"/>
          <w:sz w:val="22"/>
        </w:rPr>
        <w:t xml:space="preserve"> </w:t>
      </w:r>
      <w:hyperlink r:id="rId14" w:history="1">
        <w:r w:rsidR="00F7051F" w:rsidRPr="00F7051F">
          <w:rPr>
            <w:rStyle w:val="Hiperveza"/>
            <w:rFonts w:ascii="Arial" w:hAnsi="Arial"/>
            <w:sz w:val="22"/>
          </w:rPr>
          <w:t>153/13</w:t>
        </w:r>
      </w:hyperlink>
      <w:r w:rsidR="00F7051F" w:rsidRPr="00F7051F">
        <w:rPr>
          <w:rFonts w:ascii="Arial" w:hAnsi="Arial"/>
          <w:sz w:val="22"/>
        </w:rPr>
        <w:t xml:space="preserve"> i </w:t>
      </w:r>
      <w:hyperlink r:id="rId15" w:history="1">
        <w:r w:rsidR="00F7051F" w:rsidRPr="00F7051F">
          <w:rPr>
            <w:rStyle w:val="Hiperveza"/>
            <w:rFonts w:ascii="Arial" w:hAnsi="Arial"/>
            <w:sz w:val="22"/>
          </w:rPr>
          <w:t>20/17</w:t>
        </w:r>
      </w:hyperlink>
      <w:r w:rsidRPr="00932A9B">
        <w:rPr>
          <w:rFonts w:ascii="Arial" w:hAnsi="Arial"/>
          <w:sz w:val="22"/>
        </w:rPr>
        <w:t>) ZA IZDAVANJE POTVRDE GLAVNOG PROJEKTA prije pokretanja postupka za izdavanje građevinske dozvole za građenje građevina izvan granica građevinskog područja za koje se prem</w:t>
      </w:r>
      <w:r w:rsidR="00E41D4A">
        <w:rPr>
          <w:rFonts w:ascii="Arial" w:hAnsi="Arial"/>
          <w:sz w:val="22"/>
        </w:rPr>
        <w:t>a Zakonu o prostornom uređenju </w:t>
      </w:r>
      <w:r w:rsidRPr="00932A9B">
        <w:rPr>
          <w:rFonts w:ascii="Arial" w:hAnsi="Arial"/>
          <w:sz w:val="22"/>
        </w:rPr>
        <w:t xml:space="preserve">(„Narodne novine“, broj </w:t>
      </w:r>
      <w:hyperlink r:id="rId16" w:history="1">
        <w:r w:rsidR="00F7051F" w:rsidRPr="00F7051F">
          <w:rPr>
            <w:rStyle w:val="Hiperveza"/>
            <w:rFonts w:ascii="Arial" w:hAnsi="Arial"/>
            <w:sz w:val="22"/>
          </w:rPr>
          <w:t>153/13</w:t>
        </w:r>
      </w:hyperlink>
      <w:r w:rsidRPr="00932A9B">
        <w:rPr>
          <w:rFonts w:ascii="Arial" w:hAnsi="Arial"/>
          <w:sz w:val="22"/>
        </w:rPr>
        <w:t>) ne izdaje lokacijska dozvola</w:t>
      </w:r>
      <w:r w:rsidR="009A6AA3">
        <w:rPr>
          <w:rFonts w:ascii="Arial" w:hAnsi="Arial"/>
          <w:sz w:val="22"/>
        </w:rPr>
        <w:t>;</w:t>
      </w: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prema članku 135</w:t>
      </w:r>
      <w:r w:rsidR="009A6AA3">
        <w:rPr>
          <w:rFonts w:ascii="Arial" w:hAnsi="Arial"/>
          <w:sz w:val="22"/>
        </w:rPr>
        <w:t>.</w:t>
      </w:r>
      <w:r w:rsidRPr="00932A9B">
        <w:rPr>
          <w:rFonts w:ascii="Arial" w:hAnsi="Arial"/>
          <w:sz w:val="22"/>
        </w:rPr>
        <w:t>, Zakona o prostornom uređenju (</w:t>
      </w:r>
      <w:r w:rsidR="009A6AA3">
        <w:rPr>
          <w:rFonts w:ascii="Arial" w:hAnsi="Arial"/>
          <w:sz w:val="22"/>
        </w:rPr>
        <w:t>„</w:t>
      </w:r>
      <w:r w:rsidRPr="00932A9B">
        <w:rPr>
          <w:rFonts w:ascii="Arial" w:hAnsi="Arial"/>
          <w:sz w:val="22"/>
        </w:rPr>
        <w:t>N</w:t>
      </w:r>
      <w:r w:rsidR="009A6AA3">
        <w:rPr>
          <w:rFonts w:ascii="Arial" w:hAnsi="Arial"/>
          <w:sz w:val="22"/>
        </w:rPr>
        <w:t xml:space="preserve">arodne novine“, broj </w:t>
      </w:r>
      <w:hyperlink r:id="rId17" w:history="1">
        <w:r w:rsidR="00F7051F" w:rsidRPr="00F7051F">
          <w:rPr>
            <w:rStyle w:val="Hiperveza"/>
            <w:rFonts w:ascii="Arial" w:hAnsi="Arial"/>
            <w:sz w:val="22"/>
          </w:rPr>
          <w:t>153/13</w:t>
        </w:r>
      </w:hyperlink>
      <w:r w:rsidRPr="00932A9B">
        <w:rPr>
          <w:rFonts w:ascii="Arial" w:hAnsi="Arial"/>
          <w:sz w:val="22"/>
        </w:rPr>
        <w:t xml:space="preserve">) ZA UTVRĐIVANJE UVJETA ZAŠTITE PRIRODE prije pokretanja postupka za izdavanje lokacijske dozvole za zahvat u prostoru izvan granica građevinskog područja za koje se prema Zakonu o prostornom uređenju („Narodne novine“, broj </w:t>
      </w:r>
      <w:hyperlink r:id="rId18" w:history="1">
        <w:r w:rsidR="00F7051F" w:rsidRPr="00F7051F">
          <w:rPr>
            <w:rStyle w:val="Hiperveza"/>
            <w:rFonts w:ascii="Arial" w:hAnsi="Arial"/>
            <w:sz w:val="22"/>
          </w:rPr>
          <w:t>153/13</w:t>
        </w:r>
      </w:hyperlink>
      <w:r w:rsidRPr="00932A9B">
        <w:rPr>
          <w:rFonts w:ascii="Arial" w:hAnsi="Arial"/>
          <w:sz w:val="22"/>
        </w:rPr>
        <w:t>) izdaje lokacijska dozvola</w:t>
      </w:r>
      <w:r w:rsidR="009A6AA3">
        <w:rPr>
          <w:rFonts w:ascii="Arial" w:hAnsi="Arial"/>
          <w:sz w:val="22"/>
        </w:rPr>
        <w:t>;</w:t>
      </w: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prema člancima 88. i 89., Zakona o gradnji (</w:t>
      </w:r>
      <w:r w:rsidR="009A6AA3">
        <w:rPr>
          <w:rFonts w:ascii="Arial" w:hAnsi="Arial"/>
          <w:sz w:val="22"/>
        </w:rPr>
        <w:t>„</w:t>
      </w:r>
      <w:r w:rsidRPr="00932A9B">
        <w:rPr>
          <w:rFonts w:ascii="Arial" w:hAnsi="Arial"/>
          <w:sz w:val="22"/>
        </w:rPr>
        <w:t>N</w:t>
      </w:r>
      <w:r w:rsidR="009A6AA3">
        <w:rPr>
          <w:rFonts w:ascii="Arial" w:hAnsi="Arial"/>
          <w:sz w:val="22"/>
        </w:rPr>
        <w:t xml:space="preserve">arodne novine“, broj </w:t>
      </w:r>
      <w:hyperlink r:id="rId19" w:history="1">
        <w:r w:rsidR="00F7051F" w:rsidRPr="00F7051F">
          <w:rPr>
            <w:rStyle w:val="Hiperveza"/>
            <w:rFonts w:ascii="Arial" w:hAnsi="Arial"/>
            <w:sz w:val="22"/>
          </w:rPr>
          <w:t>153/13</w:t>
        </w:r>
      </w:hyperlink>
      <w:r w:rsidR="00F7051F" w:rsidRPr="00F7051F">
        <w:rPr>
          <w:rFonts w:ascii="Arial" w:hAnsi="Arial"/>
          <w:sz w:val="22"/>
        </w:rPr>
        <w:t xml:space="preserve"> i </w:t>
      </w:r>
      <w:hyperlink r:id="rId20" w:history="1">
        <w:r w:rsidR="00F7051F" w:rsidRPr="00F7051F">
          <w:rPr>
            <w:rStyle w:val="Hiperveza"/>
            <w:rFonts w:ascii="Arial" w:hAnsi="Arial"/>
            <w:sz w:val="22"/>
          </w:rPr>
          <w:t>20/17</w:t>
        </w:r>
      </w:hyperlink>
      <w:r w:rsidRPr="00932A9B">
        <w:rPr>
          <w:rFonts w:ascii="Arial" w:hAnsi="Arial"/>
          <w:sz w:val="22"/>
        </w:rPr>
        <w:t xml:space="preserve">) ZA IZDAVANJE POTVRDE GLAVNOG PROJEKTA prije pokretanja postupka za izdavanje građevinske dozvole za građenje građevina izvan granica </w:t>
      </w:r>
      <w:r w:rsidRPr="00932A9B">
        <w:rPr>
          <w:rFonts w:ascii="Arial" w:hAnsi="Arial"/>
          <w:sz w:val="22"/>
        </w:rPr>
        <w:lastRenderedPageBreak/>
        <w:t xml:space="preserve">građevinskog područja za koju se prema Zakonu o prostornom uređenju („Narodne novine“, broj </w:t>
      </w:r>
      <w:hyperlink r:id="rId21" w:history="1">
        <w:r w:rsidR="00F7051F" w:rsidRPr="00F7051F">
          <w:rPr>
            <w:rStyle w:val="Hiperveza"/>
            <w:rFonts w:ascii="Arial" w:hAnsi="Arial"/>
            <w:sz w:val="22"/>
          </w:rPr>
          <w:t>153/13</w:t>
        </w:r>
      </w:hyperlink>
      <w:bookmarkStart w:id="0" w:name="_GoBack"/>
      <w:bookmarkEnd w:id="0"/>
      <w:r w:rsidRPr="00932A9B">
        <w:rPr>
          <w:rFonts w:ascii="Arial" w:hAnsi="Arial"/>
          <w:sz w:val="22"/>
        </w:rPr>
        <w:t>) izdaje lokacijska dozvola</w:t>
      </w:r>
      <w:r w:rsidR="009A6AA3">
        <w:rPr>
          <w:rFonts w:ascii="Arial" w:hAnsi="Arial"/>
          <w:sz w:val="22"/>
        </w:rPr>
        <w:t>.</w:t>
      </w:r>
    </w:p>
    <w:p w:rsidR="00932A9B" w:rsidRPr="00932A9B" w:rsidRDefault="00932A9B" w:rsidP="00E41D4A">
      <w:pPr>
        <w:pStyle w:val="Odlomakpopisa"/>
        <w:jc w:val="both"/>
        <w:rPr>
          <w:rFonts w:ascii="Arial" w:hAnsi="Arial"/>
          <w:sz w:val="22"/>
        </w:rPr>
      </w:pPr>
    </w:p>
    <w:p w:rsidR="00932A9B" w:rsidRPr="00932A9B" w:rsidRDefault="00932A9B" w:rsidP="00E41D4A">
      <w:pPr>
        <w:jc w:val="both"/>
        <w:rPr>
          <w:rFonts w:ascii="Arial" w:hAnsi="Arial"/>
          <w:sz w:val="22"/>
        </w:rPr>
      </w:pPr>
    </w:p>
    <w:p w:rsidR="00932A9B" w:rsidRPr="00E41D4A" w:rsidRDefault="009A6AA3" w:rsidP="00E41D4A">
      <w:pPr>
        <w:jc w:val="both"/>
        <w:rPr>
          <w:rFonts w:ascii="Arial" w:hAnsi="Arial"/>
          <w:b/>
          <w:szCs w:val="24"/>
          <w:u w:val="single"/>
        </w:rPr>
      </w:pPr>
      <w:r>
        <w:rPr>
          <w:rFonts w:ascii="Arial" w:hAnsi="Arial"/>
          <w:b/>
          <w:szCs w:val="24"/>
          <w:u w:val="single"/>
        </w:rPr>
        <w:t>Prihvatljivost zahvata za</w:t>
      </w:r>
      <w:r w:rsidR="00932A9B" w:rsidRPr="00E41D4A">
        <w:rPr>
          <w:rFonts w:ascii="Arial" w:hAnsi="Arial"/>
          <w:b/>
          <w:szCs w:val="24"/>
          <w:u w:val="single"/>
        </w:rPr>
        <w:t xml:space="preserve"> ekološku mrežu te procjena odnosno ocjena o potrebi provedbe procjene utjecaja zahvata na okoliš</w:t>
      </w:r>
    </w:p>
    <w:p w:rsidR="00932A9B" w:rsidRPr="00932A9B" w:rsidRDefault="00932A9B" w:rsidP="00E41D4A">
      <w:pPr>
        <w:pStyle w:val="Odlomakpopisa"/>
        <w:jc w:val="both"/>
        <w:rPr>
          <w:rFonts w:ascii="Arial" w:hAnsi="Arial"/>
          <w:sz w:val="22"/>
        </w:rPr>
      </w:pPr>
    </w:p>
    <w:p w:rsidR="00932A9B" w:rsidRPr="00932A9B" w:rsidRDefault="00932A9B" w:rsidP="00E41D4A">
      <w:pPr>
        <w:jc w:val="both"/>
        <w:rPr>
          <w:rFonts w:ascii="Arial" w:hAnsi="Arial"/>
          <w:sz w:val="22"/>
        </w:rPr>
      </w:pPr>
      <w:r w:rsidRPr="00932A9B">
        <w:rPr>
          <w:rFonts w:ascii="Arial" w:hAnsi="Arial"/>
          <w:sz w:val="22"/>
        </w:rPr>
        <w:t>Odsjek za zaštitu prirode i okoliša pri Upravnom odjelu za održivi razvoj</w:t>
      </w:r>
      <w:r w:rsidR="009A6AA3">
        <w:rPr>
          <w:rFonts w:ascii="Arial" w:hAnsi="Arial"/>
          <w:sz w:val="22"/>
        </w:rPr>
        <w:t xml:space="preserve"> Istarske županije </w:t>
      </w:r>
      <w:r w:rsidRPr="00932A9B">
        <w:rPr>
          <w:rFonts w:ascii="Arial" w:hAnsi="Arial"/>
          <w:sz w:val="22"/>
        </w:rPr>
        <w:t>također je</w:t>
      </w:r>
      <w:r w:rsidR="009A6AA3">
        <w:rPr>
          <w:rFonts w:ascii="Arial" w:hAnsi="Arial"/>
          <w:sz w:val="22"/>
        </w:rPr>
        <w:t xml:space="preserve"> na području Istarske županije</w:t>
      </w:r>
      <w:r w:rsidRPr="00932A9B">
        <w:rPr>
          <w:rFonts w:ascii="Arial" w:hAnsi="Arial"/>
          <w:sz w:val="22"/>
        </w:rPr>
        <w:t xml:space="preserve"> nadležan za utvrđivanje:</w:t>
      </w:r>
    </w:p>
    <w:p w:rsidR="00932A9B" w:rsidRPr="00932A9B" w:rsidRDefault="00932A9B" w:rsidP="00E41D4A">
      <w:pPr>
        <w:jc w:val="both"/>
        <w:rPr>
          <w:rFonts w:ascii="Arial" w:hAnsi="Arial"/>
          <w:sz w:val="22"/>
        </w:rPr>
      </w:pPr>
    </w:p>
    <w:p w:rsidR="00991DC1" w:rsidRPr="00991DC1" w:rsidRDefault="00932A9B" w:rsidP="00E41D4A">
      <w:pPr>
        <w:pStyle w:val="Odlomakpopisa"/>
        <w:numPr>
          <w:ilvl w:val="0"/>
          <w:numId w:val="11"/>
        </w:numPr>
        <w:jc w:val="both"/>
        <w:rPr>
          <w:rFonts w:ascii="Arial" w:hAnsi="Arial"/>
          <w:sz w:val="22"/>
        </w:rPr>
      </w:pPr>
      <w:r w:rsidRPr="00932A9B">
        <w:rPr>
          <w:rFonts w:ascii="Arial" w:hAnsi="Arial"/>
          <w:sz w:val="22"/>
        </w:rPr>
        <w:t>da li je za određeni zahvat potrebno provesti ocjenu prihvatljivosti zahvata za ekološku mrežu (član</w:t>
      </w:r>
      <w:r w:rsidR="009A6AA3">
        <w:rPr>
          <w:rFonts w:ascii="Arial" w:hAnsi="Arial"/>
          <w:sz w:val="22"/>
        </w:rPr>
        <w:t>a</w:t>
      </w:r>
      <w:r w:rsidRPr="00932A9B">
        <w:rPr>
          <w:rFonts w:ascii="Arial" w:hAnsi="Arial"/>
          <w:sz w:val="22"/>
        </w:rPr>
        <w:t>k 24. Zakona o zaštiti prirode (</w:t>
      </w:r>
      <w:r w:rsidR="009A6AA3">
        <w:rPr>
          <w:rFonts w:ascii="Arial" w:hAnsi="Arial"/>
          <w:sz w:val="22"/>
        </w:rPr>
        <w:t>„</w:t>
      </w:r>
      <w:r w:rsidRPr="00932A9B">
        <w:rPr>
          <w:rFonts w:ascii="Arial" w:hAnsi="Arial"/>
          <w:sz w:val="22"/>
        </w:rPr>
        <w:t>N</w:t>
      </w:r>
      <w:r w:rsidR="009A6AA3">
        <w:rPr>
          <w:rFonts w:ascii="Arial" w:hAnsi="Arial"/>
          <w:sz w:val="22"/>
        </w:rPr>
        <w:t xml:space="preserve">arodne novine“, broj </w:t>
      </w:r>
      <w:hyperlink r:id="rId22" w:history="1">
        <w:r w:rsidRPr="000C6133">
          <w:rPr>
            <w:rStyle w:val="Hiperveza"/>
            <w:rFonts w:ascii="Arial" w:hAnsi="Arial"/>
            <w:sz w:val="22"/>
          </w:rPr>
          <w:t>80/13</w:t>
        </w:r>
      </w:hyperlink>
      <w:r w:rsidRPr="00932A9B">
        <w:rPr>
          <w:rFonts w:ascii="Arial" w:hAnsi="Arial"/>
          <w:sz w:val="22"/>
        </w:rPr>
        <w:t>) i Pravilnik o ocjeni prihvatljivosti plana programa i zahvata za ekološku mrežu (</w:t>
      </w:r>
      <w:r w:rsidR="009A6AA3">
        <w:rPr>
          <w:rFonts w:ascii="Arial" w:hAnsi="Arial"/>
          <w:sz w:val="22"/>
        </w:rPr>
        <w:t>„</w:t>
      </w:r>
      <w:r w:rsidRPr="00932A9B">
        <w:rPr>
          <w:rFonts w:ascii="Arial" w:hAnsi="Arial"/>
          <w:sz w:val="22"/>
        </w:rPr>
        <w:t>N</w:t>
      </w:r>
      <w:r w:rsidR="009A6AA3">
        <w:rPr>
          <w:rFonts w:ascii="Arial" w:hAnsi="Arial"/>
          <w:sz w:val="22"/>
        </w:rPr>
        <w:t xml:space="preserve">arodne novine“, broj </w:t>
      </w:r>
      <w:hyperlink r:id="rId23" w:history="1">
        <w:r w:rsidR="009A6AA3" w:rsidRPr="000C6133">
          <w:rPr>
            <w:rStyle w:val="Hiperveza"/>
            <w:rFonts w:ascii="Arial" w:hAnsi="Arial"/>
            <w:sz w:val="22"/>
          </w:rPr>
          <w:t>146/</w:t>
        </w:r>
        <w:r w:rsidRPr="000C6133">
          <w:rPr>
            <w:rStyle w:val="Hiperveza"/>
            <w:rFonts w:ascii="Arial" w:hAnsi="Arial"/>
            <w:sz w:val="22"/>
          </w:rPr>
          <w:t>14</w:t>
        </w:r>
      </w:hyperlink>
      <w:r w:rsidRPr="00932A9B">
        <w:rPr>
          <w:rFonts w:ascii="Arial" w:hAnsi="Arial"/>
          <w:sz w:val="22"/>
        </w:rPr>
        <w:t>)</w:t>
      </w:r>
      <w:r w:rsidR="009A6AA3">
        <w:rPr>
          <w:rFonts w:ascii="Arial" w:hAnsi="Arial"/>
          <w:sz w:val="22"/>
        </w:rPr>
        <w:t>) te</w:t>
      </w:r>
      <w:r w:rsidRPr="00932A9B">
        <w:t xml:space="preserve"> </w:t>
      </w:r>
    </w:p>
    <w:p w:rsidR="00991DC1" w:rsidRPr="00991DC1" w:rsidRDefault="00991DC1" w:rsidP="00E41D4A">
      <w:pPr>
        <w:jc w:val="both"/>
        <w:rPr>
          <w:rFonts w:ascii="Arial" w:hAnsi="Arial"/>
          <w:sz w:val="22"/>
        </w:rPr>
      </w:pP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da li je za predmetni zahvat potrebno provesti postupak procjene ili ocjene o potrebi provedbe postupka procjene o utj</w:t>
      </w:r>
      <w:r w:rsidR="00E41D4A">
        <w:rPr>
          <w:rFonts w:ascii="Arial" w:hAnsi="Arial"/>
          <w:sz w:val="22"/>
        </w:rPr>
        <w:t>ecaju zahvata na okoliš (Uredba</w:t>
      </w:r>
      <w:r w:rsidRPr="00932A9B">
        <w:rPr>
          <w:rFonts w:ascii="Arial" w:hAnsi="Arial"/>
          <w:sz w:val="22"/>
        </w:rPr>
        <w:t xml:space="preserve"> o procjeni utjecaja zahvata na okoliš (</w:t>
      </w:r>
      <w:r w:rsidR="009A6AA3">
        <w:rPr>
          <w:rFonts w:ascii="Arial" w:hAnsi="Arial"/>
          <w:sz w:val="22"/>
        </w:rPr>
        <w:t>„</w:t>
      </w:r>
      <w:r w:rsidRPr="00932A9B">
        <w:rPr>
          <w:rFonts w:ascii="Arial" w:hAnsi="Arial"/>
          <w:sz w:val="22"/>
        </w:rPr>
        <w:t>N</w:t>
      </w:r>
      <w:r w:rsidR="009A6AA3">
        <w:rPr>
          <w:rFonts w:ascii="Arial" w:hAnsi="Arial"/>
          <w:sz w:val="22"/>
        </w:rPr>
        <w:t xml:space="preserve">arodne novine“, broj </w:t>
      </w:r>
      <w:hyperlink r:id="rId24" w:history="1">
        <w:r w:rsidR="00F7051F" w:rsidRPr="00F7051F">
          <w:rPr>
            <w:rStyle w:val="Hiperveza"/>
            <w:rFonts w:ascii="Arial" w:hAnsi="Arial"/>
            <w:sz w:val="22"/>
          </w:rPr>
          <w:t>61/14</w:t>
        </w:r>
      </w:hyperlink>
      <w:r w:rsidR="00F7051F" w:rsidRPr="00F7051F">
        <w:rPr>
          <w:rFonts w:ascii="Arial" w:hAnsi="Arial"/>
          <w:sz w:val="22"/>
        </w:rPr>
        <w:t xml:space="preserve">, </w:t>
      </w:r>
      <w:hyperlink r:id="rId25" w:history="1">
        <w:r w:rsidR="00F7051F" w:rsidRPr="00F7051F">
          <w:rPr>
            <w:rStyle w:val="Hiperveza"/>
            <w:rFonts w:ascii="Arial" w:hAnsi="Arial"/>
            <w:sz w:val="22"/>
          </w:rPr>
          <w:t>03/17</w:t>
        </w:r>
      </w:hyperlink>
      <w:r w:rsidRPr="00932A9B">
        <w:rPr>
          <w:rFonts w:ascii="Arial" w:hAnsi="Arial"/>
          <w:sz w:val="22"/>
        </w:rPr>
        <w:t>)</w:t>
      </w:r>
    </w:p>
    <w:p w:rsidR="00932A9B" w:rsidRPr="00932A9B" w:rsidRDefault="00932A9B" w:rsidP="00E41D4A">
      <w:pPr>
        <w:jc w:val="both"/>
        <w:rPr>
          <w:rFonts w:ascii="Arial" w:hAnsi="Arial"/>
          <w:sz w:val="22"/>
        </w:rPr>
      </w:pPr>
    </w:p>
    <w:p w:rsidR="00991DC1" w:rsidRDefault="00991DC1" w:rsidP="00E41D4A">
      <w:pPr>
        <w:jc w:val="both"/>
        <w:rPr>
          <w:rFonts w:ascii="Arial" w:hAnsi="Arial"/>
          <w:sz w:val="22"/>
        </w:rPr>
      </w:pPr>
      <w:r>
        <w:rPr>
          <w:rFonts w:ascii="Arial" w:hAnsi="Arial"/>
          <w:sz w:val="22"/>
        </w:rPr>
        <w:t>Sukladno članku 27. Zakona o zaštiti prirode (</w:t>
      </w:r>
      <w:r w:rsidR="009A6AA3">
        <w:rPr>
          <w:rFonts w:ascii="Arial" w:hAnsi="Arial"/>
          <w:sz w:val="22"/>
        </w:rPr>
        <w:t>„</w:t>
      </w:r>
      <w:r>
        <w:rPr>
          <w:rFonts w:ascii="Arial" w:hAnsi="Arial"/>
          <w:sz w:val="22"/>
        </w:rPr>
        <w:t>N</w:t>
      </w:r>
      <w:r w:rsidR="009A6AA3">
        <w:rPr>
          <w:rFonts w:ascii="Arial" w:hAnsi="Arial"/>
          <w:sz w:val="22"/>
        </w:rPr>
        <w:t xml:space="preserve">arodne novine“, </w:t>
      </w:r>
      <w:hyperlink r:id="rId26" w:history="1">
        <w:r w:rsidR="00F7051F" w:rsidRPr="00F7051F">
          <w:rPr>
            <w:rStyle w:val="Hiperveza"/>
            <w:rFonts w:ascii="Arial" w:hAnsi="Arial"/>
            <w:sz w:val="22"/>
          </w:rPr>
          <w:t>80/13</w:t>
        </w:r>
      </w:hyperlink>
      <w:r>
        <w:rPr>
          <w:rFonts w:ascii="Arial" w:hAnsi="Arial"/>
          <w:sz w:val="22"/>
        </w:rPr>
        <w:t>), u slučajevima kada je za predmetni zahvat propisano provođenje postupka ocjene o potrebi provedbe postupka procjene utjecaja zahvata na okoliš (prilog II ili III Uredbe o procjeni utjecaja zahvata na okoliš (</w:t>
      </w:r>
      <w:r w:rsidR="009A6AA3">
        <w:rPr>
          <w:rFonts w:ascii="Arial" w:hAnsi="Arial"/>
          <w:sz w:val="22"/>
        </w:rPr>
        <w:t>„</w:t>
      </w:r>
      <w:r>
        <w:rPr>
          <w:rFonts w:ascii="Arial" w:hAnsi="Arial"/>
          <w:sz w:val="22"/>
        </w:rPr>
        <w:t>N</w:t>
      </w:r>
      <w:r w:rsidR="009A6AA3">
        <w:rPr>
          <w:rFonts w:ascii="Arial" w:hAnsi="Arial"/>
          <w:sz w:val="22"/>
        </w:rPr>
        <w:t>arodne novine“, broj</w:t>
      </w:r>
      <w:r w:rsidRPr="00932A9B">
        <w:rPr>
          <w:rFonts w:ascii="Arial" w:hAnsi="Arial"/>
          <w:sz w:val="22"/>
        </w:rPr>
        <w:t xml:space="preserve"> </w:t>
      </w:r>
      <w:hyperlink r:id="rId27" w:history="1">
        <w:r w:rsidRPr="000C6133">
          <w:rPr>
            <w:rStyle w:val="Hiperveza"/>
            <w:rFonts w:ascii="Arial" w:hAnsi="Arial"/>
            <w:sz w:val="22"/>
          </w:rPr>
          <w:t>61/14</w:t>
        </w:r>
      </w:hyperlink>
      <w:r w:rsidRPr="00932A9B">
        <w:rPr>
          <w:rFonts w:ascii="Arial" w:hAnsi="Arial"/>
          <w:sz w:val="22"/>
        </w:rPr>
        <w:t xml:space="preserve">, </w:t>
      </w:r>
      <w:hyperlink r:id="rId28" w:history="1">
        <w:r w:rsidRPr="000C6133">
          <w:rPr>
            <w:rStyle w:val="Hiperveza"/>
            <w:rFonts w:ascii="Arial" w:hAnsi="Arial"/>
            <w:sz w:val="22"/>
          </w:rPr>
          <w:t>03/17</w:t>
        </w:r>
      </w:hyperlink>
      <w:r>
        <w:rPr>
          <w:rFonts w:ascii="Arial" w:hAnsi="Arial"/>
          <w:sz w:val="22"/>
        </w:rPr>
        <w:t>) prethodna ocjena obavlja se u sklopu pos</w:t>
      </w:r>
      <w:r w:rsidR="0058317C">
        <w:rPr>
          <w:rFonts w:ascii="Arial" w:hAnsi="Arial"/>
          <w:sz w:val="22"/>
        </w:rPr>
        <w:t>tupka ocjene o potrebi procjene.</w:t>
      </w:r>
    </w:p>
    <w:p w:rsidR="0058317C" w:rsidRPr="00D75ED3" w:rsidRDefault="0058317C" w:rsidP="00E41D4A">
      <w:pPr>
        <w:pStyle w:val="StandardWeb"/>
        <w:spacing w:after="135" w:afterAutospacing="0"/>
        <w:rPr>
          <w:i/>
          <w:sz w:val="20"/>
          <w:szCs w:val="20"/>
        </w:rPr>
      </w:pPr>
      <w:r w:rsidRPr="00D75ED3">
        <w:rPr>
          <w:rFonts w:ascii="Arial" w:hAnsi="Arial" w:cs="Arial"/>
          <w:i/>
          <w:color w:val="414145"/>
          <w:sz w:val="20"/>
          <w:szCs w:val="20"/>
        </w:rPr>
        <w:t>Članak 27.</w:t>
      </w:r>
    </w:p>
    <w:p w:rsidR="0058317C" w:rsidRPr="00D75ED3" w:rsidRDefault="0058317C" w:rsidP="009A6AA3">
      <w:pPr>
        <w:pStyle w:val="Odlomakpopisa"/>
        <w:numPr>
          <w:ilvl w:val="0"/>
          <w:numId w:val="14"/>
        </w:numPr>
        <w:jc w:val="both"/>
        <w:rPr>
          <w:rFonts w:ascii="Arial" w:hAnsi="Arial" w:cs="Arial"/>
          <w:b/>
          <w:i/>
          <w:sz w:val="20"/>
        </w:rPr>
      </w:pPr>
      <w:r w:rsidRPr="00D75ED3">
        <w:rPr>
          <w:rFonts w:ascii="Arial" w:hAnsi="Arial" w:cs="Arial"/>
          <w:b/>
          <w:i/>
          <w:sz w:val="20"/>
        </w:rPr>
        <w:t>Za zahvate za koje je posebnim propisom kojim se uređuje zaštita okoliša određena</w:t>
      </w:r>
      <w:r w:rsidR="009A6AA3" w:rsidRPr="00D75ED3">
        <w:rPr>
          <w:rFonts w:ascii="Arial" w:hAnsi="Arial" w:cs="Arial"/>
          <w:b/>
          <w:i/>
          <w:sz w:val="20"/>
        </w:rPr>
        <w:t xml:space="preserve"> obaveza</w:t>
      </w:r>
      <w:r w:rsidRPr="00D75ED3">
        <w:rPr>
          <w:rFonts w:ascii="Arial" w:hAnsi="Arial" w:cs="Arial"/>
          <w:b/>
          <w:i/>
          <w:sz w:val="20"/>
        </w:rPr>
        <w:t xml:space="preserve"> ocjene o potrebi procjene utjecaja na okoliš, Prethodna ocjena obavlja se u okviru postupka ocjene o potrebi procjene.</w:t>
      </w:r>
    </w:p>
    <w:p w:rsidR="0058317C" w:rsidRPr="00D75ED3" w:rsidRDefault="0058317C" w:rsidP="009A6AA3">
      <w:pPr>
        <w:pStyle w:val="Odlomakpopisa"/>
        <w:numPr>
          <w:ilvl w:val="0"/>
          <w:numId w:val="14"/>
        </w:numPr>
        <w:jc w:val="both"/>
        <w:rPr>
          <w:rFonts w:ascii="Arial" w:hAnsi="Arial" w:cs="Arial"/>
          <w:i/>
          <w:sz w:val="20"/>
        </w:rPr>
      </w:pPr>
      <w:r w:rsidRPr="00D75ED3">
        <w:rPr>
          <w:rFonts w:ascii="Arial" w:hAnsi="Arial" w:cs="Arial"/>
          <w:i/>
          <w:sz w:val="20"/>
        </w:rPr>
        <w:t>Za zahvate za koje je posebnim propisom kojim se uređuje zaštita okoliša određena obveza procjene utjecaja na okoliš, Prethodna ocjena obavlja se prije pokretanja postupka procjene utjecaja zahvata na okoliš.</w:t>
      </w:r>
    </w:p>
    <w:p w:rsidR="00991DC1" w:rsidRPr="00D75ED3" w:rsidRDefault="0058317C" w:rsidP="009A6AA3">
      <w:pPr>
        <w:pStyle w:val="Odlomakpopisa"/>
        <w:numPr>
          <w:ilvl w:val="0"/>
          <w:numId w:val="14"/>
        </w:numPr>
        <w:jc w:val="both"/>
        <w:rPr>
          <w:rFonts w:ascii="Arial" w:hAnsi="Arial" w:cs="Arial"/>
          <w:b/>
          <w:i/>
          <w:sz w:val="20"/>
        </w:rPr>
      </w:pPr>
      <w:r w:rsidRPr="00D75ED3">
        <w:rPr>
          <w:rFonts w:ascii="Arial" w:hAnsi="Arial" w:cs="Arial"/>
          <w:b/>
          <w:i/>
          <w:sz w:val="20"/>
        </w:rPr>
        <w:t>Za zahvat za koji je posebnim propisom kojim se uređuje zaštita okoliša određena obveza procjene utjecaja na okoliš ili je ona utvrđena u postupku ocjene o potrebi procjene, Glavna ocjena obavlja se u okviru postupka procjene utjecaja zahvata na okoliš.</w:t>
      </w:r>
    </w:p>
    <w:p w:rsidR="00932A9B" w:rsidRPr="00D75ED3" w:rsidRDefault="00932A9B" w:rsidP="00E41D4A">
      <w:pPr>
        <w:jc w:val="both"/>
        <w:rPr>
          <w:rFonts w:ascii="Arial" w:hAnsi="Arial"/>
          <w:sz w:val="20"/>
        </w:rPr>
      </w:pPr>
    </w:p>
    <w:p w:rsidR="00A44362" w:rsidRDefault="0031576F" w:rsidP="00E41D4A">
      <w:pPr>
        <w:jc w:val="both"/>
        <w:rPr>
          <w:rFonts w:ascii="Arial" w:hAnsi="Arial"/>
          <w:sz w:val="22"/>
        </w:rPr>
      </w:pPr>
      <w:r>
        <w:rPr>
          <w:rFonts w:ascii="Arial" w:hAnsi="Arial"/>
          <w:sz w:val="22"/>
        </w:rPr>
        <w:t xml:space="preserve">Na osnovu gore navedene i pojašnjene nadležnosti vezano uz prihvatljivost zahvata za ekološku mrežu i ocjene o potrebi procjene utjecaja zahvata </w:t>
      </w:r>
      <w:r w:rsidR="00A44362">
        <w:rPr>
          <w:rFonts w:ascii="Arial" w:hAnsi="Arial"/>
          <w:sz w:val="22"/>
        </w:rPr>
        <w:t xml:space="preserve">na okoliš </w:t>
      </w:r>
      <w:r>
        <w:rPr>
          <w:rFonts w:ascii="Arial" w:hAnsi="Arial"/>
          <w:sz w:val="22"/>
        </w:rPr>
        <w:t xml:space="preserve">ovo </w:t>
      </w:r>
      <w:r w:rsidR="00A44362">
        <w:rPr>
          <w:rFonts w:ascii="Arial" w:hAnsi="Arial"/>
          <w:sz w:val="22"/>
        </w:rPr>
        <w:t>upravno tijelo nadležno je:</w:t>
      </w:r>
    </w:p>
    <w:p w:rsidR="0031576F" w:rsidRPr="00932A9B" w:rsidRDefault="0031576F" w:rsidP="00E41D4A">
      <w:pPr>
        <w:jc w:val="both"/>
        <w:rPr>
          <w:rFonts w:ascii="Arial" w:hAnsi="Arial"/>
          <w:sz w:val="22"/>
        </w:rPr>
      </w:pPr>
      <w:r>
        <w:rPr>
          <w:rFonts w:ascii="Arial" w:hAnsi="Arial"/>
          <w:sz w:val="22"/>
        </w:rPr>
        <w:t xml:space="preserve">  </w:t>
      </w:r>
    </w:p>
    <w:p w:rsidR="00932A9B" w:rsidRPr="00932A9B" w:rsidRDefault="00932A9B" w:rsidP="00E41D4A">
      <w:pPr>
        <w:pStyle w:val="Odlomakpopisa"/>
        <w:numPr>
          <w:ilvl w:val="0"/>
          <w:numId w:val="11"/>
        </w:numPr>
        <w:jc w:val="both"/>
        <w:rPr>
          <w:rFonts w:ascii="Arial" w:hAnsi="Arial"/>
          <w:sz w:val="22"/>
        </w:rPr>
      </w:pPr>
      <w:r w:rsidRPr="00932A9B">
        <w:rPr>
          <w:rFonts w:ascii="Arial" w:hAnsi="Arial"/>
          <w:sz w:val="22"/>
        </w:rPr>
        <w:t>prema članku 108</w:t>
      </w:r>
      <w:r w:rsidR="00FF554F">
        <w:rPr>
          <w:rFonts w:ascii="Arial" w:hAnsi="Arial"/>
          <w:sz w:val="22"/>
        </w:rPr>
        <w:t>.</w:t>
      </w:r>
      <w:r w:rsidRPr="00932A9B">
        <w:rPr>
          <w:rFonts w:ascii="Arial" w:hAnsi="Arial"/>
          <w:sz w:val="22"/>
        </w:rPr>
        <w:t>, Zakona o gradnji (</w:t>
      </w:r>
      <w:r w:rsidR="00FF554F">
        <w:rPr>
          <w:rFonts w:ascii="Arial" w:hAnsi="Arial"/>
          <w:sz w:val="22"/>
        </w:rPr>
        <w:t>„</w:t>
      </w:r>
      <w:r w:rsidRPr="00932A9B">
        <w:rPr>
          <w:rFonts w:ascii="Arial" w:hAnsi="Arial"/>
          <w:sz w:val="22"/>
        </w:rPr>
        <w:t>N</w:t>
      </w:r>
      <w:r w:rsidR="00FF554F">
        <w:rPr>
          <w:rFonts w:ascii="Arial" w:hAnsi="Arial"/>
          <w:sz w:val="22"/>
        </w:rPr>
        <w:t xml:space="preserve">arodne novine“, broj </w:t>
      </w:r>
      <w:hyperlink r:id="rId29" w:history="1">
        <w:r w:rsidR="00F7051F" w:rsidRPr="00F7051F">
          <w:rPr>
            <w:rStyle w:val="Hiperveza"/>
            <w:rFonts w:ascii="Arial" w:hAnsi="Arial"/>
            <w:sz w:val="22"/>
          </w:rPr>
          <w:t>153/13</w:t>
        </w:r>
      </w:hyperlink>
      <w:r w:rsidR="00F7051F" w:rsidRPr="00F7051F">
        <w:rPr>
          <w:rFonts w:ascii="Arial" w:hAnsi="Arial"/>
          <w:sz w:val="22"/>
        </w:rPr>
        <w:t xml:space="preserve"> i </w:t>
      </w:r>
      <w:hyperlink r:id="rId30" w:history="1">
        <w:r w:rsidR="00F7051F" w:rsidRPr="00F7051F">
          <w:rPr>
            <w:rStyle w:val="Hiperveza"/>
            <w:rFonts w:ascii="Arial" w:hAnsi="Arial"/>
            <w:sz w:val="22"/>
          </w:rPr>
          <w:t>20/17</w:t>
        </w:r>
      </w:hyperlink>
      <w:r w:rsidRPr="00932A9B">
        <w:rPr>
          <w:rFonts w:ascii="Arial" w:hAnsi="Arial"/>
          <w:sz w:val="22"/>
        </w:rPr>
        <w:t>) ZA IZDAVANJE POTVRDE da je glavni projekt izrađen u skladu s rješenjem o prihvatljivosti zahvata za okoliš prije pokretanja postupka za izdavanje građevinske dozvole, ako se radi o zahvatu u prostoru za koji se prema propisima kojim se uređuje zaštita okoliša</w:t>
      </w:r>
      <w:r w:rsidR="0042212A">
        <w:rPr>
          <w:rFonts w:ascii="Arial" w:hAnsi="Arial"/>
          <w:sz w:val="22"/>
        </w:rPr>
        <w:t xml:space="preserve"> i prirode</w:t>
      </w:r>
      <w:r w:rsidRPr="00932A9B">
        <w:rPr>
          <w:rFonts w:ascii="Arial" w:hAnsi="Arial"/>
          <w:sz w:val="22"/>
        </w:rPr>
        <w:t xml:space="preserve"> provodi postupak procjene utjecaja zahvata na okoliš i/ili ocjene prihvatljivosti zahvata za ekološku mrežu</w:t>
      </w:r>
      <w:r w:rsidR="0042212A">
        <w:rPr>
          <w:rFonts w:ascii="Arial" w:hAnsi="Arial"/>
          <w:sz w:val="22"/>
        </w:rPr>
        <w:t>.</w:t>
      </w:r>
    </w:p>
    <w:p w:rsidR="00247E74" w:rsidRDefault="00247E74" w:rsidP="00E41D4A">
      <w:pPr>
        <w:jc w:val="both"/>
        <w:rPr>
          <w:rFonts w:ascii="Arial" w:hAnsi="Arial"/>
          <w:sz w:val="22"/>
        </w:rPr>
      </w:pPr>
    </w:p>
    <w:p w:rsidR="00247E74" w:rsidRDefault="00247E74" w:rsidP="00E41D4A">
      <w:pPr>
        <w:jc w:val="both"/>
        <w:rPr>
          <w:rFonts w:ascii="Arial" w:hAnsi="Arial"/>
          <w:sz w:val="22"/>
        </w:rPr>
      </w:pPr>
    </w:p>
    <w:p w:rsidR="00247E74" w:rsidRDefault="00247E74" w:rsidP="00E41D4A">
      <w:pPr>
        <w:jc w:val="both"/>
        <w:rPr>
          <w:rFonts w:ascii="Arial" w:hAnsi="Arial"/>
          <w:sz w:val="22"/>
        </w:rPr>
      </w:pPr>
    </w:p>
    <w:p w:rsidR="00247E74" w:rsidRDefault="00247E74" w:rsidP="00E41D4A">
      <w:pPr>
        <w:jc w:val="both"/>
        <w:rPr>
          <w:rFonts w:ascii="Arial" w:hAnsi="Arial"/>
          <w:sz w:val="22"/>
        </w:rPr>
      </w:pPr>
    </w:p>
    <w:p w:rsidR="00247E74" w:rsidRDefault="00247E74" w:rsidP="00E41D4A">
      <w:pPr>
        <w:jc w:val="both"/>
        <w:rPr>
          <w:rFonts w:ascii="Arial" w:hAnsi="Arial"/>
          <w:sz w:val="22"/>
        </w:rPr>
      </w:pPr>
    </w:p>
    <w:p w:rsidR="00247E74" w:rsidRDefault="00247E74" w:rsidP="00E41D4A">
      <w:pPr>
        <w:jc w:val="both"/>
        <w:rPr>
          <w:rFonts w:ascii="Arial" w:hAnsi="Arial"/>
          <w:sz w:val="22"/>
        </w:rPr>
      </w:pPr>
    </w:p>
    <w:p w:rsidR="00247E74" w:rsidRDefault="00247E74" w:rsidP="00E41D4A">
      <w:pPr>
        <w:jc w:val="both"/>
        <w:rPr>
          <w:rFonts w:ascii="Arial" w:hAnsi="Arial"/>
          <w:sz w:val="22"/>
        </w:rPr>
      </w:pPr>
    </w:p>
    <w:p w:rsidR="00247E74" w:rsidRDefault="00247E74" w:rsidP="00E41D4A">
      <w:pPr>
        <w:jc w:val="both"/>
        <w:rPr>
          <w:rFonts w:ascii="Arial" w:hAnsi="Arial"/>
          <w:sz w:val="22"/>
        </w:rPr>
      </w:pPr>
    </w:p>
    <w:p w:rsidR="00247E74" w:rsidRDefault="00247E74" w:rsidP="00E41D4A">
      <w:pPr>
        <w:jc w:val="both"/>
        <w:rPr>
          <w:rFonts w:ascii="Arial" w:hAnsi="Arial"/>
          <w:sz w:val="22"/>
        </w:rPr>
      </w:pPr>
    </w:p>
    <w:p w:rsidR="00942BA3" w:rsidRPr="00942BA3" w:rsidRDefault="00D75ED3" w:rsidP="00942BA3">
      <w:pPr>
        <w:spacing w:before="272" w:after="48"/>
        <w:jc w:val="both"/>
        <w:textAlignment w:val="baseline"/>
        <w:rPr>
          <w:rFonts w:ascii="Arial" w:hAnsi="Arial" w:cs="Arial"/>
          <w:b/>
          <w:bCs/>
          <w:color w:val="231F20"/>
          <w:szCs w:val="24"/>
        </w:rPr>
      </w:pPr>
      <w:r>
        <w:rPr>
          <w:rFonts w:ascii="Arial" w:hAnsi="Arial" w:cs="Arial"/>
          <w:b/>
          <w:bCs/>
          <w:color w:val="231F20"/>
          <w:szCs w:val="24"/>
        </w:rPr>
        <w:t>I</w:t>
      </w:r>
      <w:r w:rsidR="00942BA3" w:rsidRPr="00942BA3">
        <w:rPr>
          <w:rFonts w:ascii="Arial" w:hAnsi="Arial" w:cs="Arial"/>
          <w:b/>
          <w:bCs/>
          <w:color w:val="231F20"/>
          <w:szCs w:val="24"/>
        </w:rPr>
        <w:t xml:space="preserve">zvod iz popisa zahvata Priloga I., II. i III. Uredbe o procjeni utjecaja zahvata na okoliš („Narodne novine“, broj </w:t>
      </w:r>
      <w:hyperlink r:id="rId31" w:history="1">
        <w:r w:rsidR="00F7051F" w:rsidRPr="00F7051F">
          <w:rPr>
            <w:rStyle w:val="Hiperveza"/>
            <w:rFonts w:ascii="Arial" w:hAnsi="Arial" w:cs="Arial"/>
            <w:b/>
            <w:bCs/>
            <w:szCs w:val="24"/>
          </w:rPr>
          <w:t>6</w:t>
        </w:r>
        <w:r w:rsidR="00F7051F" w:rsidRPr="00F7051F">
          <w:rPr>
            <w:rStyle w:val="Hiperveza"/>
            <w:rFonts w:ascii="Arial" w:hAnsi="Arial" w:cs="Arial"/>
            <w:b/>
            <w:bCs/>
            <w:szCs w:val="24"/>
          </w:rPr>
          <w:t>1</w:t>
        </w:r>
        <w:r w:rsidR="00F7051F" w:rsidRPr="00F7051F">
          <w:rPr>
            <w:rStyle w:val="Hiperveza"/>
            <w:rFonts w:ascii="Arial" w:hAnsi="Arial" w:cs="Arial"/>
            <w:b/>
            <w:bCs/>
            <w:szCs w:val="24"/>
          </w:rPr>
          <w:t>/</w:t>
        </w:r>
        <w:r w:rsidR="00F7051F" w:rsidRPr="00F7051F">
          <w:rPr>
            <w:rStyle w:val="Hiperveza"/>
            <w:rFonts w:ascii="Arial" w:hAnsi="Arial" w:cs="Arial"/>
            <w:b/>
            <w:bCs/>
            <w:szCs w:val="24"/>
          </w:rPr>
          <w:t>1</w:t>
        </w:r>
        <w:r w:rsidR="00F7051F" w:rsidRPr="00F7051F">
          <w:rPr>
            <w:rStyle w:val="Hiperveza"/>
            <w:rFonts w:ascii="Arial" w:hAnsi="Arial" w:cs="Arial"/>
            <w:b/>
            <w:bCs/>
            <w:szCs w:val="24"/>
          </w:rPr>
          <w:t>4</w:t>
        </w:r>
      </w:hyperlink>
      <w:r w:rsidR="00F7051F" w:rsidRPr="00F7051F">
        <w:rPr>
          <w:rFonts w:ascii="Arial" w:hAnsi="Arial" w:cs="Arial"/>
          <w:b/>
          <w:bCs/>
          <w:color w:val="231F20"/>
          <w:szCs w:val="24"/>
        </w:rPr>
        <w:t xml:space="preserve">, </w:t>
      </w:r>
      <w:hyperlink r:id="rId32" w:history="1">
        <w:r w:rsidR="00F7051F" w:rsidRPr="00F7051F">
          <w:rPr>
            <w:rStyle w:val="Hiperveza"/>
            <w:rFonts w:ascii="Arial" w:hAnsi="Arial" w:cs="Arial"/>
            <w:b/>
            <w:bCs/>
            <w:szCs w:val="24"/>
          </w:rPr>
          <w:t>03/17</w:t>
        </w:r>
      </w:hyperlink>
      <w:r w:rsidR="00942BA3" w:rsidRPr="00942BA3">
        <w:rPr>
          <w:rFonts w:ascii="Arial" w:hAnsi="Arial" w:cs="Arial"/>
          <w:b/>
          <w:bCs/>
          <w:color w:val="231F20"/>
          <w:szCs w:val="24"/>
        </w:rPr>
        <w:t>)</w:t>
      </w:r>
    </w:p>
    <w:p w:rsidR="00247E74" w:rsidRPr="00942BA3" w:rsidRDefault="00247E74" w:rsidP="00E41D4A">
      <w:pPr>
        <w:spacing w:before="272" w:after="48"/>
        <w:jc w:val="center"/>
        <w:textAlignment w:val="baseline"/>
        <w:rPr>
          <w:rFonts w:ascii="Arial" w:hAnsi="Arial" w:cs="Arial"/>
          <w:b/>
          <w:bCs/>
          <w:color w:val="231F20"/>
          <w:sz w:val="22"/>
          <w:szCs w:val="22"/>
        </w:rPr>
      </w:pPr>
      <w:r w:rsidRPr="00942BA3">
        <w:rPr>
          <w:rFonts w:ascii="Arial" w:hAnsi="Arial" w:cs="Arial"/>
          <w:b/>
          <w:bCs/>
          <w:color w:val="231F20"/>
          <w:sz w:val="22"/>
          <w:szCs w:val="22"/>
        </w:rPr>
        <w:t>PRILOG I.</w:t>
      </w:r>
    </w:p>
    <w:p w:rsidR="00247E74" w:rsidRPr="00942BA3" w:rsidRDefault="00247E74" w:rsidP="00E41D4A">
      <w:pPr>
        <w:spacing w:before="204" w:after="72"/>
        <w:jc w:val="center"/>
        <w:textAlignment w:val="baseline"/>
        <w:rPr>
          <w:rFonts w:ascii="Arial" w:hAnsi="Arial" w:cs="Arial"/>
          <w:color w:val="231F20"/>
          <w:sz w:val="26"/>
          <w:szCs w:val="26"/>
        </w:rPr>
      </w:pPr>
      <w:r w:rsidRPr="00942BA3">
        <w:rPr>
          <w:rFonts w:ascii="Arial" w:hAnsi="Arial" w:cs="Arial"/>
          <w:color w:val="231F20"/>
          <w:sz w:val="26"/>
          <w:szCs w:val="26"/>
        </w:rPr>
        <w:t>POPIS ZAHVATA ZA KOJE JE OBVEZNA PROCJE</w:t>
      </w:r>
      <w:r w:rsidR="00942BA3">
        <w:rPr>
          <w:rFonts w:ascii="Arial" w:hAnsi="Arial" w:cs="Arial"/>
          <w:color w:val="231F20"/>
          <w:sz w:val="26"/>
          <w:szCs w:val="26"/>
        </w:rPr>
        <w:t>NA UTJECAJA ZAHVATA NA OKOLIŠ(1)</w:t>
      </w:r>
    </w:p>
    <w:tbl>
      <w:tblPr>
        <w:tblW w:w="5000" w:type="pct"/>
        <w:tblCellMar>
          <w:left w:w="0" w:type="dxa"/>
          <w:right w:w="0" w:type="dxa"/>
        </w:tblCellMar>
        <w:tblLook w:val="04A0" w:firstRow="1" w:lastRow="0" w:firstColumn="1" w:lastColumn="0" w:noHBand="0" w:noVBand="1"/>
      </w:tblPr>
      <w:tblGrid>
        <w:gridCol w:w="498"/>
        <w:gridCol w:w="7991"/>
      </w:tblGrid>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i preradu nafte i prirodnog plina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uplinjavanje ili ukapljivanje 500 t/dan i više ugljena ili bituminoznih stijena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Elektrane i energane snage veće od 100 MW</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Vjetroelektrane snage veće od 20 MW</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5.</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Nuklearne elektrane i drugi nuklearni reaktori, uključujući demontiranje i isključenje iz pogona takvih reaktora(2) (izuzevši znanstveno istraživačkih postrojenja čija ukupna snaga ne prelazi 1 kW stalnog toplinskog opterećenja)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preradu istrošenoga nuklearnog goriva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7.</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proizvodnju ili obogaćivanje nuklearnog goriva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obradu istrošenog nuklearnog goriva ili visokoradioaktivnog otpada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konačno odlaganje istrošenog nuklearnog goriva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konačno odlaganje radioaktivnog otpada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skladištenje (planirani rok skladištenja duži od 10 godina) istrošenog nuklearnog goriva ili radioaktivnog otpada na lokaciji izvan mjesta proizvodnje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8.</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sirovog željeza, čelika i ferolegura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plemenitih i obojenih metala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Kemijska postrojenja za industrijsku proizvodnju tvari koja se sastoje od funkcionalno povezanih jedinica te služe:</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proizvodnju temeljnih organskih kemikalija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proizvodnju temeljnih anorganskih kemikalija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proizvodnju umjetnih gnojiva na bazi fosfora, dušika, kalija (jednostavna ili složena umjetna gnojiva)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proizvodnju temeljnih proizvoda za zaštitu bilja i biocida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proizvodnju osnovnih farmaceutskih proizvoda uporabom kemijskih ili bioloških postupaka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proizvodnju eksploziva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11.</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Proizvodnja biogoriva kapaciteta 100.000 t/god i više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12.</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Željezničke pruge od značaja za međunarodni promet s pripadajućim građevinama i uređajima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13.</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Aerodromi čija je uzletno-sletna staza dužine 2.100 m i više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14.</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Autoceste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15.</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Državne ceste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16.</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Ceste s četiri ili više prometnih traka ili proširivanje postojeće ceste s dvije ili manje prometnih traka u cestu s četiri ili više prometnih traka ako duljina ceste ili proširene dionice ceste iznosi 10 km ili više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17.</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Luke unutarnjih voda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18.</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Plovni putovi unutarnje plovidbe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19.</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Morske luke otvorene za javni promet osobitoga (međunarodnoga) gospodarskog interesa za Republiku Hrvatsku i morske luke posebne namjene od značaja za Republiku Hrvatsku prema posebnom propisu</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20.</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Spaljivanje opasnog otpada postupkom D10 i/ili R1</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21.</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Spaljivanje neopasnog otpada postupkom D10 i/ili R1 kapaciteta većeg od 100 t/dan</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22.</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Zbrinjavanje opasnog otpada postupkom D9</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23.</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Zbrinjavanje neopasnog otpada postupkom D9 kapaciteta većeg od 100 t/dan</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24.</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Zbrinjavanje opasnog otpada odlaganjem postupcima D1, D2, D3, D4, D5 i/ili D12</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25.</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Centri za gospodarenje otpadom</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26.</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Kafilerije (obrada životinjskih trupala i otpada životinjskog podrijetla)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27.</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Crpljenje podzemnih voda, ili projekti za umjetno dopunjavanje podzemnih voda kapaciteta 10.000.000 m³ godišnje i više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28.</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Sustavi za prevođenje voda između riječnih slivova namijenjeni sprječavanju mogućeg manjka vode, pri čemu količina prebačene vode prelazi 100.000.000 m³ godišnje, osim u slučajevima prevođenja vode za piće putem cjevovoda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29.</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Sustavi za prevođenje voda između riječnih slivova koji nisu namijenjeni sprječavanju mogućeg manjka vode, pri čemu višegodišnji prosječni protok sliva iz kojeg se voda prevodi iznosi više od 2.000.000.000 m³ godišnje, a količina prebačene vode čini više od 5% tog protoka, osim u slučajevima prevođenja vode za piće putem cjevovoda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30.</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Melioracijski sustavi površine 5.000 ha i veće, a u Jadranskom slivnom području 500 ha i veće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31.</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Brane i druge građevine namijenjene zadržavanju i akumulaciji vode, pri čemu je nova ili dodatna količina zadržane ili akumulirane vode veća od 10.000.000 m³</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32.</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obradu otpadnih voda kapaciteta 50.000 ES (ekvivalent stanovnika) i više s pripadajućim sustavom odvodnje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33.</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Međunarodni i magistralni cjevovodi za transport plina, nafte, naftnih derivata i kemikalija uključivo terminal, otpremnu i mjerno – regulacijsku (redukcijsku) stanicu tehnološki povezanu s tim cjevovodom</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34.</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Cjevovodi za transport plinova radi trajnog zbrinjavanja plinova u geološkim strukturama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35.</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Građevine za intenzivan uzgoj peradi kapaciteta 40.000 komada i više u proizvodnom ciklusu</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36.</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Građevine za intenzivni uzgoj svinja kapaciteta više od:</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− 2.000 mjesta za tovljenike (preko 30 kg)</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− 750 mjesta za krmače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37.</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Klaonice dnevnog kapaciteta 100 uvjetnih grla i više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38.</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Industrijska postrojenja za proizvodnju celuloze i pulpe iz drvne mase ili sličnih vlaknastih materijala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39.</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Industrijska postrojenja za proizvodnju papira i kartona kapaciteta 100 t/dan i više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40.</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Eksploatacija mineralnih sirovina: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1. energetske mineralne sirovine:</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ugljikovodici (nafta, prirodni plin, plinski kondenzat i zemni vosak)</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fosilne gorive tvari: ugljen (treset, lignit, smeđi ugljen, kameni ugljen), asfalt i uljni škriljavci; radioaktivne rude</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2. mineralne sirovine za industrijsku preradu: grafit, sumpor, barit, tinjci, gips, kreda, kremen, kremeni pijesak, drago kamenje, bentonitna, porculanska, keramička i vatrostalna glina, feldspati, talk, tuf, mineralne sirovine za proizvodnju cementa, karbonatne mineralne sirovine (vapnenci i dolomiti) za industrijsku preradbu, silikatne mineralne sirovine za industrijsku preradbu, sve vrste soli (morska sol) i solnih voda, mineralne vode iz kojih se mogu pridobivati mineralne sirovine, osim mineralnih voda koje se koriste u ljekovite, balneološke i rekreativne svrhe ili kao voda za ljudsku potrošnju i druge namjene, na koje se primjenjuju propisi o vodama, brom, jod, peloidi</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3. mineralne sirovine za proizvodnju građevnog materijala: tehničko-građevni kamen (amfibolit, andezit, bazalt, dijabaz, granit, dolomit, vapnenac), građevni pijesak i šljunak iz neobnovljivih ležišta, građevni pijesak i šljunak iz morskog dna, ciglarska glina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4. arhitektonsko-građevni kamen</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5. mineralne sirovine kovina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41.</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Dalekovodi, transformatorska i rasklopna postrojenja napona 220 kV i više, duljine 10 km i više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42.</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Građevine namijenjene skladištenju:</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naftni terminali i terminali ukapljenoga prirodnog plina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podzemna skladišta prirodnog plina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skladišta nafte ili njezinih tekućih derivata kao samostalne građevine kapaciteta 50.000 t i više</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skladišta ukapljenog naftnog plina kao samostalne građevine kapaciteta 10.000 t i više</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skladišta kemijskih i petrokemijskih proizvoda kao samostalne građevine kapaciteta 50.000 t i više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43.</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Lokacija za trajno zbrinjavanje plinova u geološkim strukturama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44.</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Postrojenje za hvatanje ugljikovog dioksida u svrhu geološkog skladištenja iz postrojenja obuhvaćenih ovim Prilogom ili ako je ukupna količina uhvaćenog ugljikovog dioksida 1,5 Mt godišnje ili više</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45.</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Morska uzgajališta: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uzgajališta bijele ribe u zaštićenom obalnom području mora (ZOP) godišnje proizvodnje veće od 100 t</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uzgajališta ribe izvan ZOP-a, a do udaljenosti od 1 Nm godišnje proizvodnje veće od 700 t</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uzgajališta ribe izvan ZOP-a, a koja su udaljena od obale otoka ili kopna više od 1 Nm godišnje proizvodnje veće od 3.500 t</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46.</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Uzgajališta školjkaša u ZOP-u godišnje proizvodnje veće od 400 t</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47.</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Igrališta za golf s pripadajućim građevinama</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48.</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Izmjena zahvata iz ovoga Priloga pri čemu zahvat ili izmijenjeni dio zahvata dostiže kriterije utvrđene ovim Prilogom</w:t>
            </w:r>
          </w:p>
        </w:tc>
      </w:tr>
      <w:tr w:rsidR="00247E74" w:rsidRPr="00942BA3" w:rsidTr="00247E74">
        <w:tc>
          <w:tcPr>
            <w:tcW w:w="27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49.</w:t>
            </w:r>
          </w:p>
        </w:tc>
        <w:tc>
          <w:tcPr>
            <w:tcW w:w="472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Svi planirani zahvati za koje je potrebno ishoditi okolišnu dozvolu prema posebnom propisu, a koji nisu sadržani u ovom Prilogu osim zahvata iz područja gospodarenja otpadom sadržanih u Prilogu II. ove Uredbe</w:t>
            </w:r>
          </w:p>
        </w:tc>
      </w:tr>
    </w:tbl>
    <w:p w:rsidR="00247E74" w:rsidRPr="00942BA3" w:rsidRDefault="00247E74" w:rsidP="00E41D4A">
      <w:pPr>
        <w:spacing w:after="48"/>
        <w:jc w:val="both"/>
        <w:textAlignment w:val="baseline"/>
        <w:rPr>
          <w:rFonts w:ascii="Arial" w:hAnsi="Arial" w:cs="Arial"/>
          <w:color w:val="231F20"/>
          <w:szCs w:val="24"/>
        </w:rPr>
      </w:pPr>
    </w:p>
    <w:p w:rsidR="00247E74" w:rsidRPr="00942BA3" w:rsidRDefault="00247E74" w:rsidP="00E41D4A">
      <w:pPr>
        <w:spacing w:before="272" w:after="48"/>
        <w:jc w:val="center"/>
        <w:textAlignment w:val="baseline"/>
        <w:rPr>
          <w:rFonts w:ascii="Arial" w:hAnsi="Arial" w:cs="Arial"/>
          <w:b/>
          <w:bCs/>
          <w:color w:val="231F20"/>
          <w:sz w:val="22"/>
          <w:szCs w:val="22"/>
        </w:rPr>
      </w:pPr>
      <w:r w:rsidRPr="00942BA3">
        <w:rPr>
          <w:rFonts w:ascii="Arial" w:hAnsi="Arial" w:cs="Arial"/>
          <w:b/>
          <w:bCs/>
          <w:color w:val="231F20"/>
          <w:sz w:val="22"/>
          <w:szCs w:val="22"/>
        </w:rPr>
        <w:t>PRILOG II.</w:t>
      </w:r>
    </w:p>
    <w:p w:rsidR="00247E74" w:rsidRPr="00942BA3" w:rsidRDefault="00247E74" w:rsidP="00E41D4A">
      <w:pPr>
        <w:spacing w:before="204" w:after="72"/>
        <w:jc w:val="center"/>
        <w:textAlignment w:val="baseline"/>
        <w:rPr>
          <w:rFonts w:ascii="Arial" w:hAnsi="Arial" w:cs="Arial"/>
          <w:color w:val="231F20"/>
          <w:sz w:val="26"/>
          <w:szCs w:val="26"/>
        </w:rPr>
      </w:pPr>
      <w:r w:rsidRPr="00942BA3">
        <w:rPr>
          <w:rFonts w:ascii="Arial" w:hAnsi="Arial" w:cs="Arial"/>
          <w:color w:val="231F20"/>
          <w:sz w:val="26"/>
          <w:szCs w:val="26"/>
        </w:rPr>
        <w:t>POPIS ZAHVATA ZA KOJE SE PROVODI OCJENA O POTREBI PROCJENE UTJECAJA ZAHVATA NA OKOLIŠ, A ZA KOJE JE NADLEŽNO MINISTARSTVO</w:t>
      </w:r>
    </w:p>
    <w:p w:rsidR="00247E74" w:rsidRPr="00942BA3" w:rsidRDefault="00247E74" w:rsidP="00E41D4A">
      <w:pPr>
        <w:spacing w:before="204" w:after="72"/>
        <w:jc w:val="center"/>
        <w:textAlignment w:val="baseline"/>
        <w:rPr>
          <w:rFonts w:ascii="Arial" w:hAnsi="Arial" w:cs="Arial"/>
          <w:color w:val="231F20"/>
          <w:sz w:val="26"/>
          <w:szCs w:val="26"/>
        </w:rPr>
      </w:pPr>
    </w:p>
    <w:tbl>
      <w:tblPr>
        <w:tblW w:w="5000" w:type="pct"/>
        <w:tblCellMar>
          <w:left w:w="0" w:type="dxa"/>
          <w:right w:w="0" w:type="dxa"/>
        </w:tblCellMar>
        <w:tblLook w:val="04A0" w:firstRow="1" w:lastRow="0" w:firstColumn="1" w:lastColumn="0" w:noHBand="0" w:noVBand="1"/>
      </w:tblPr>
      <w:tblGrid>
        <w:gridCol w:w="907"/>
        <w:gridCol w:w="7582"/>
      </w:tblGrid>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rPr>
                <w:rFonts w:ascii="Arial" w:hAnsi="Arial" w:cs="Arial"/>
                <w:color w:val="000000"/>
                <w:sz w:val="22"/>
                <w:szCs w:val="22"/>
              </w:rPr>
            </w:pPr>
            <w:r w:rsidRPr="00942BA3">
              <w:rPr>
                <w:rFonts w:ascii="Arial" w:hAnsi="Arial" w:cs="Arial"/>
                <w:color w:val="000000"/>
                <w:sz w:val="22"/>
                <w:szCs w:val="22"/>
              </w:rPr>
              <w:t> </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ZAHVAT</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Poljoprivreda i akvakultura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1.1.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Gospodarenje vodama namijenjeno poljoprivredi, uključujući navodnjavanje i odvodnju pri čemu je površina navodnjavanja 2.000 ha i veća, a u Jadranskom slivnom području 300 ha i veće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Građevine za intenzivni uzgoj svinja kapaciteta više od:</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− 1.000 mjesta za tovljenike (preko 30 kg)</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− 500 mjesta za krmače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Morska uzgajališta: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uzgajališta bijele ribe u zaštićenom obalnom području mora (ZOP) godišnje proizvodnje manje od 100 t</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uzgajališta ribe izvan zaštićenog obalnog područja (ZOP) godišnje proizvodnje veće od 100 t</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Slatkovodni ribnjaci:</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salmonide godišnje proizvodnje 10 t i više</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ciprinide površine ribnjaka 100 ha i veće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Energetika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električne energije, pare i vruće vode snage veće od 10 MW uz korištenje:</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fosilnih i krutih goriva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obnovljivih izvora energije (osim vode, sunca i vjetra)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Hidroelektrane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Vjetroelektrane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Sunčane elektrane kao samostojeći objekti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2.5.</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Cjevovodi za prijenos:</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nafte i naftnih derivata, plina (visokotlačni plinovodi) i kemikalija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pare i vruće vode duljine 10 km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2.6.</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Prijenos električne energije vodovima napona 110 kV i više koji su u sklopu prijenosne mreže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2.7.</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Površinska skladišta prirodnog plina i drugih fosilnih goriva kapaciteta 5.000 m³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2.8.</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Podzemna skladišta zapaljivih plinova kapaciteta 5.000 m³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2.9.</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Industrijsko briketiranje ugljena i lignita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2.10.</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Proizvodnja biogoriva kapaciteta 20.000 t/god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2.11.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Postrojenje za hvatanje plinova u svrhu trajnog zbrinjavanja plinova u geološkim strukturama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Proizvodnja i obrada metala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preradu metala kapaciteta prerade 500 kg/h sirovog materijala: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tople valjaonice (postrojenja za vruće valjanje)</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kovačnice s jednim ili više čekića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postrojenje za nanošenje taljenih metalnih premaza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Ljevaonice metala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taljenje obojenih metala i izradu legura izuzev plemenitih metala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površinsku obradu metala i plastičnih materijala elektrolizom ili drugim kemijskim postupcima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3.5.</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motornih vozila (proizvodnja, sklapanje, proizvodnja motora)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3.6.</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Brodogradilišta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3.7.</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gradnju i popravak zrakoplova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3.8.</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željezničke opreme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3.9.</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oblikovanje metala pomoću eksploziva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3.10.</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pripremu, obogaćivanje, pečenje i kalupljenje metalnih ruda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Industrijska prerada mineralnih sirovina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suhu destilaciju ugljena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cementnog klinkera, cementa i vapna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stakla i staklenih vlakana, uključujući proizvodnju stakla koje se dobiva preradom starog stakla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taljenje mineralnih tvari, uključujući i proizvodnju mineralnih vlakana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4.5.</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Proizvodnja keramike i opekarskih proizvoda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5.</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Kemijska industrija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5.1.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Obrada (prerada) kemijskih poluproizvoda i proizvodnja kemikalija kapaciteta 10.000 t/god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5.2.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Proizvodnja: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pesticida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farmaceutskih proizvoda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lastRenderedPageBreak/>
              <w:t>– elastomera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boja i lakova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peroksida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5.3.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Skladišta nafte, petrokemijskih i kemijskih proizvoda kapaciteta 10.000 t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Prehrambena industrija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i preradu ulja i masti biljnog ili životinjskog podrijetla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preradu (konzerviranje) i pakiranje proizvoda biljnog ili životinjskog podrijetla kapaciteta 1 t/dan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obradu i preradu mlijeka kapaciteta 1 t/dan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piva i priprava napitaka vrenjem slada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6.5.</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kvasca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6.6.</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konditorskih proizvoda i sirupa kapaciteta 5 t/god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6.7.</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industrijskog škroba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6.8.</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ribljeg brašna i ribljeg ulja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6.9.</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ili rafiniranje šećera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6.10.</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alkoholnih i bezalkoholnih pića i punionice vode kapaciteta 2.000.000 l/god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6.11.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duhanskih proizvoda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7.</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Tekstilna, kožna, drvna i papirna industrija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7.1.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papira, kartona i ljepenke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7.2.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prethodnu obradu i bojenje tekstilnih vlakana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7.3.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i obradu celuloze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7.4.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obradu i preradu kože i krzna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8.</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Gumarska industrija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8.1.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i preradu gume i kaučuka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Infrastrukturni projekti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9.1.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Zahvati urbanog razvoja (sustavi odvodnje, sustavi vodoopskrbe, ceste, groblja, krematoriji, nove stambene zone, kompleksi sportske, kulturne, obrazovne namjene i drugo)</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Trgovački i prodajni centri građevinske bruto površine 50.000 m</w:t>
            </w:r>
            <w:r w:rsidRPr="00942BA3">
              <w:rPr>
                <w:rFonts w:ascii="Arial" w:hAnsi="Arial" w:cs="Arial"/>
                <w:color w:val="231F20"/>
                <w:sz w:val="22"/>
                <w:szCs w:val="22"/>
                <w:vertAlign w:val="superscript"/>
              </w:rPr>
              <w:t>2</w:t>
            </w:r>
            <w:r w:rsidRPr="00942BA3">
              <w:rPr>
                <w:rFonts w:ascii="Arial" w:hAnsi="Arial" w:cs="Arial"/>
                <w:color w:val="231F20"/>
                <w:sz w:val="22"/>
                <w:szCs w:val="22"/>
              </w:rPr>
              <w:t>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Sportski i rekreacijski centri površine 5 ha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Industrijske zone površine 5 ha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9.5.</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Željezničke pruge (osim gradskih i prigradskih) i željeznički terminali za kombinirani utovar i istovar tereta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9.6.</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Aerodromi čija je uzletno-sletna staza duljine do 2.100 m</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9.7.</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Brane i druge građevine namijenjene zadržavanju ili akumulaciji vode pri čemu je nova ili dodatna količina zadržane ili akumulirane vode veća od 1.000.000 m</w:t>
            </w:r>
            <w:r w:rsidRPr="00942BA3">
              <w:rPr>
                <w:rFonts w:ascii="Arial" w:hAnsi="Arial" w:cs="Arial"/>
                <w:color w:val="231F20"/>
                <w:sz w:val="22"/>
                <w:szCs w:val="22"/>
                <w:vertAlign w:val="superscript"/>
              </w:rPr>
              <w:t>3</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9.8.</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Međugradski i međunarodni akvadukti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9.9.</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Crpljenje podzemnih voda ili programi za umjetno dopunjavanje podzemnih voda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9.10.</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Građevine za prijenos vode između porječja (riječnih slivova)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9.11.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Morske luke s više od 100 vezova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9.12.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Svi zahvati koji obuhvaćaju nasipavanje morske obale, produbljivanje i isušivanje morskog dna te izgradnja građevina u i na moru duljine 50 m i više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Ostali zahvati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Eksploatacija šljunka i građevnog pijeska iz obnovljivih izvora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Eksploatacija mineralne i termalne vode koje se koriste u ljekovite, balneološke i rekreativne svrhe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Eksploatacija mineralnih i geotermalnih voda iz kojih se može koristiti akumulirana toplina u energetske svrhe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obradu otpadnih voda s pripadajućim sustavom odvodnje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10.5.</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i uređaji za testiranje motora, turbina i reaktora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10.6.</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uništavanje eksplozivnih tvari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10.7.</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Postrojenja za proizvodnju umjetnih mineralnih vlakana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10.8.</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Svi planirani zahvati iz područja gospodarenja otpadom za koje je potrebno ishoditi okolišnu dozvolu prema posebnom propisu</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10.9.</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Odlagališta mulja i odlagališta otpada uključujući i njihovu sanaciju</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10.10.</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Skladišta otpadnog željeza koja nisu obuhvaćena točkom 10.8.</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10.11.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Skladišta otpadnih vozila koja nisu obuhvaćena točkom 10.8.</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10.12.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Istražne i druge duboke bušotine izuzev bušotina koje služe za ispitivanje stabilnosti tla/geotehničke istražne bušotine</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Turizam i odmor (osim zahvata u Prilogu I.)</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11.1.</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Turističke zone površine 15 ha i veće izvan granica građevinskog područja naselja</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12.</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Drugi zahvati za koje nositelj zahvata radi međunarodnog financiranja zatraži ocjenu o potrebi procjene utjecaja na okoliš</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13.</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Izmjena zahvata iz Priloga I. i II. koja bi mogla imati značajan negativan utjecaj na okoliš, pri čemu značajan negativan utjecaj na okoliš na upit nositelja zahvata procjenjuje Ministarstvo mišljenjem, odnosno u postupku ocjene o potrebi procjene utjecaja na okoliš</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14.</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Rekonstrukcija postojećih postrojenja i uređaja za koje je ishođena okolišna dozvola koja bi mogla imati značajan negativan utjecaj na okoliš, pri čemu značajan negativan utjecaj na okoliš na upit nositelja zahvata procjenjuje Ministarstvo mišljenjem, odnosno u postupku ocjene o potrebi procjene utjecaja na okoliš</w:t>
            </w:r>
          </w:p>
        </w:tc>
      </w:tr>
      <w:tr w:rsidR="00247E74" w:rsidRPr="00942BA3" w:rsidTr="00247E74">
        <w:tc>
          <w:tcPr>
            <w:tcW w:w="53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15.</w:t>
            </w:r>
          </w:p>
        </w:tc>
        <w:tc>
          <w:tcPr>
            <w:tcW w:w="446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Zahvati iz Priloga I. namijenjeni isključivo ili uglavnom razvoju ili ispitivanju novih metoda ili proizvoda, a koji se ne koriste više od dvije godine</w:t>
            </w:r>
          </w:p>
        </w:tc>
      </w:tr>
    </w:tbl>
    <w:p w:rsidR="00247E74" w:rsidRPr="00942BA3" w:rsidRDefault="00247E74" w:rsidP="00E41D4A">
      <w:pPr>
        <w:spacing w:after="48"/>
        <w:jc w:val="both"/>
        <w:textAlignment w:val="baseline"/>
        <w:rPr>
          <w:rFonts w:ascii="Arial" w:hAnsi="Arial" w:cs="Arial"/>
          <w:color w:val="231F20"/>
          <w:szCs w:val="24"/>
        </w:rPr>
      </w:pPr>
    </w:p>
    <w:p w:rsidR="00247E74" w:rsidRPr="00942BA3" w:rsidRDefault="00247E74" w:rsidP="00E41D4A">
      <w:pPr>
        <w:spacing w:before="272" w:after="48"/>
        <w:jc w:val="center"/>
        <w:textAlignment w:val="baseline"/>
        <w:rPr>
          <w:rFonts w:ascii="Arial" w:hAnsi="Arial" w:cs="Arial"/>
          <w:b/>
          <w:bCs/>
          <w:color w:val="231F20"/>
          <w:sz w:val="22"/>
          <w:szCs w:val="22"/>
        </w:rPr>
      </w:pPr>
      <w:r w:rsidRPr="00942BA3">
        <w:rPr>
          <w:rFonts w:ascii="Arial" w:hAnsi="Arial" w:cs="Arial"/>
          <w:b/>
          <w:bCs/>
          <w:color w:val="231F20"/>
          <w:sz w:val="22"/>
          <w:szCs w:val="22"/>
        </w:rPr>
        <w:t>PRILOG III.</w:t>
      </w:r>
    </w:p>
    <w:p w:rsidR="00247E74" w:rsidRDefault="00247E74" w:rsidP="00E41D4A">
      <w:pPr>
        <w:spacing w:before="204" w:after="72"/>
        <w:jc w:val="center"/>
        <w:textAlignment w:val="baseline"/>
        <w:rPr>
          <w:rFonts w:ascii="Arial" w:hAnsi="Arial" w:cs="Arial"/>
          <w:color w:val="231F20"/>
          <w:sz w:val="26"/>
          <w:szCs w:val="26"/>
        </w:rPr>
      </w:pPr>
      <w:r w:rsidRPr="00942BA3">
        <w:rPr>
          <w:rFonts w:ascii="Arial" w:hAnsi="Arial" w:cs="Arial"/>
          <w:color w:val="231F20"/>
          <w:sz w:val="26"/>
          <w:szCs w:val="26"/>
        </w:rPr>
        <w:t>POPIS ZAHVATA ZA KOJE SE PROVODI OCJENA O POTREBI PROCJENE UTJECAJA ZAHVATA NA OKOLIŠ, A ZA KOJE JE NADLEŽNO UPRAVNO TIJELO U ŽUPANIJI, ODNOSNO U GRADU ZAGREBU</w:t>
      </w:r>
    </w:p>
    <w:p w:rsidR="00942BA3" w:rsidRPr="00942BA3" w:rsidRDefault="00942BA3" w:rsidP="00E41D4A">
      <w:pPr>
        <w:spacing w:before="204" w:after="72"/>
        <w:jc w:val="center"/>
        <w:textAlignment w:val="baseline"/>
        <w:rPr>
          <w:rFonts w:ascii="Arial" w:hAnsi="Arial" w:cs="Arial"/>
          <w:color w:val="231F20"/>
          <w:sz w:val="26"/>
          <w:szCs w:val="26"/>
        </w:rPr>
      </w:pPr>
    </w:p>
    <w:tbl>
      <w:tblPr>
        <w:tblW w:w="5000" w:type="pct"/>
        <w:tblCellMar>
          <w:left w:w="0" w:type="dxa"/>
          <w:right w:w="0" w:type="dxa"/>
        </w:tblCellMar>
        <w:tblLook w:val="04A0" w:firstRow="1" w:lastRow="0" w:firstColumn="1" w:lastColumn="0" w:noHBand="0" w:noVBand="1"/>
      </w:tblPr>
      <w:tblGrid>
        <w:gridCol w:w="769"/>
        <w:gridCol w:w="7720"/>
      </w:tblGrid>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rPr>
                <w:rFonts w:ascii="Arial" w:hAnsi="Arial" w:cs="Arial"/>
                <w:color w:val="000000"/>
                <w:sz w:val="22"/>
                <w:szCs w:val="22"/>
              </w:rPr>
            </w:pPr>
            <w:r w:rsidRPr="00942BA3">
              <w:rPr>
                <w:rFonts w:ascii="Arial" w:hAnsi="Arial" w:cs="Arial"/>
                <w:color w:val="000000"/>
                <w:sz w:val="22"/>
                <w:szCs w:val="22"/>
              </w:rPr>
              <w:t> </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ZAHVAT</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Poljoprivreda, šumarstvo i akvakultura (osim zahvata u Prilogu I. i II.)</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1.1.</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Obnavljanje ruralnih područja površine 10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1.2.</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Korištenje neobrađenog ili djelomično prirodnog područja za intenzivnu poljoprivredu površine 10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1.3.</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Početno pošumljavanje u svrhu prenamjene zemljišta površine 50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1.4.</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Krčenje šuma u svrhu prenamjene zemljišta površine 10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1.5.</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Građevine za intenzivan uzgoj peradi kapaciteta 20.000 komada i više u proizvodnom ciklusu</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1.6.</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Građevine za intenzivan uzgoj stoke i drugih životinja kapaciteta većeg od 500 uvjetnih grla (što ne uključuje građevine za uzgoj svinja i peradi)</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1.7.</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Slatkovodni ribnjaci:</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salmonide godišnje proizvodnje veće od 5 t</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za ciprinide površine ribnjaka 50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Infrastrukturni projekti (osim zahvata u Prilogu I. i II.)</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2.1.</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Parkirališta kao samostalni zahvati površine 2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2.2.</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Kanali, nasipi i druge građevine za obranu od poplava i erozije obale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2.3.</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Tramvajske pruge, nadzemne i podzemne željeznice, viseće i druge željeznice koje se upotrebljavaju za prijevoz putnika:</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gradske – duljine 10 km i više</w:t>
            </w: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prigradske – duljine 15 km i više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Ostali zahvati (osim zahvata u Prilogu I. i II.)</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3.1.</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Asfaltne baze nazivnog kapaciteta 100 t/sat i više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3.2.</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Betonare nazivnog kapaciteta 30 m³/sat i više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3.3.</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Trkaće staze za motorna vozila i staze za ispitivanje motornih vozila površine 1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3.4.</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Svako namjerno potapanje pomorskog objekta (plovnog objekta, plutajućeg objekta i nepomičnog odobalnog objekta) s ciljem daljnjeg korištenja, a nije rezultat pomorske nesreće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3.5.</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Klaonice dnevnog kapaciteta 50 uvjetnih grla i više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Turizam i odmor (osim zahvata u Prilogu I. i II.)</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4.1.</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Skijaške staze, liftovi i žičare i slične konstrukcije s pratećim građevinama površine 1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4.2.</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Tematski parkovi površine 5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4.3.</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Kampovi i kamp odmorišta površine 2 ha i veće</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t>5.</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 xml:space="preserve">Izmjena zahvata s ovoga Priloga koja bi mogla imati značajan negativan utjecaj na okoliš, pri čemu značajan negativan utjecaj na okoliš na upit nositelja zahvata procjenjuje nadležno upravno tijelo u županiji, odnosno u Gradu </w:t>
            </w:r>
            <w:r w:rsidRPr="00942BA3">
              <w:rPr>
                <w:rFonts w:ascii="Arial" w:hAnsi="Arial" w:cs="Arial"/>
                <w:color w:val="231F20"/>
                <w:sz w:val="22"/>
                <w:szCs w:val="22"/>
              </w:rPr>
              <w:lastRenderedPageBreak/>
              <w:t>Zagrebu mišljenjem, odnosno u postupku ocjene o potrebi procjene utjecaja na okoliš</w:t>
            </w:r>
          </w:p>
        </w:tc>
      </w:tr>
      <w:tr w:rsidR="00247E74" w:rsidRPr="00942BA3" w:rsidTr="00247E74">
        <w:tc>
          <w:tcPr>
            <w:tcW w:w="4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center"/>
              <w:textAlignment w:val="baseline"/>
              <w:rPr>
                <w:rFonts w:ascii="Arial" w:hAnsi="Arial" w:cs="Arial"/>
                <w:color w:val="231F20"/>
                <w:sz w:val="22"/>
                <w:szCs w:val="22"/>
              </w:rPr>
            </w:pPr>
            <w:r w:rsidRPr="00942BA3">
              <w:rPr>
                <w:rFonts w:ascii="Arial" w:hAnsi="Arial" w:cs="Arial"/>
                <w:color w:val="231F20"/>
                <w:sz w:val="22"/>
                <w:szCs w:val="22"/>
              </w:rPr>
              <w:lastRenderedPageBreak/>
              <w:t>6.</w:t>
            </w:r>
          </w:p>
        </w:tc>
        <w:tc>
          <w:tcPr>
            <w:tcW w:w="4547"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Za ostale zahvate navedene u Prilogu II. i III., koji ne dosižu kriterije utvrđene u tim prilozima, a koji bi mogli imati značajan negativan utjecaj na okoliš, pri čemu značajan negativan utjecaj na okoliš na upit nositelja zahvata procjenjuje nadležno upravno tijelo u županiji, odnosno u Gradu Zagrebu mišljenjem uzimajući u obzir kriterije iz Priloga V. ove Uredbe, odnosno u postupku ocjene o potrebi procjene utjecaja na okoliš</w:t>
            </w:r>
          </w:p>
        </w:tc>
      </w:tr>
    </w:tbl>
    <w:p w:rsidR="00247E74" w:rsidRPr="00942BA3" w:rsidRDefault="00247E74" w:rsidP="00E41D4A">
      <w:pPr>
        <w:spacing w:after="48"/>
        <w:ind w:firstLine="408"/>
        <w:jc w:val="both"/>
        <w:textAlignment w:val="baseline"/>
        <w:rPr>
          <w:rFonts w:ascii="Arial" w:hAnsi="Arial" w:cs="Arial"/>
          <w:color w:val="231F20"/>
          <w:szCs w:val="24"/>
        </w:rPr>
      </w:pPr>
    </w:p>
    <w:p w:rsidR="00247E74" w:rsidRDefault="00942BA3" w:rsidP="00E41D4A">
      <w:pPr>
        <w:spacing w:after="48"/>
        <w:jc w:val="both"/>
        <w:textAlignment w:val="baseline"/>
        <w:rPr>
          <w:rFonts w:ascii="Arial" w:hAnsi="Arial" w:cs="Arial"/>
          <w:color w:val="231F20"/>
          <w:sz w:val="22"/>
          <w:szCs w:val="22"/>
        </w:rPr>
      </w:pPr>
      <w:r>
        <w:rPr>
          <w:rFonts w:ascii="Arial" w:hAnsi="Arial" w:cs="Arial"/>
          <w:color w:val="231F20"/>
          <w:sz w:val="22"/>
          <w:szCs w:val="22"/>
        </w:rPr>
        <w:t>1 Pod pojmom „</w:t>
      </w:r>
      <w:r w:rsidR="00247E74" w:rsidRPr="00942BA3">
        <w:rPr>
          <w:rFonts w:ascii="Arial" w:hAnsi="Arial" w:cs="Arial"/>
          <w:color w:val="231F20"/>
          <w:sz w:val="22"/>
          <w:szCs w:val="22"/>
        </w:rPr>
        <w:t>postrojenje</w:t>
      </w:r>
      <w:r>
        <w:rPr>
          <w:rFonts w:ascii="Arial" w:hAnsi="Arial" w:cs="Arial"/>
          <w:color w:val="231F20"/>
          <w:sz w:val="22"/>
          <w:szCs w:val="22"/>
        </w:rPr>
        <w:t>“</w:t>
      </w:r>
      <w:r w:rsidR="00247E74" w:rsidRPr="00942BA3">
        <w:rPr>
          <w:rFonts w:ascii="Arial" w:hAnsi="Arial" w:cs="Arial"/>
          <w:color w:val="231F20"/>
          <w:sz w:val="22"/>
          <w:szCs w:val="22"/>
        </w:rPr>
        <w:t xml:space="preserve"> u prilozima I., II. i III., podrazumijevaju se i građevine kako je to propisano posebnim zakonom kojim se uređuje gradnja.</w:t>
      </w:r>
    </w:p>
    <w:p w:rsidR="00942BA3" w:rsidRPr="00942BA3" w:rsidRDefault="00942BA3" w:rsidP="00E41D4A">
      <w:pPr>
        <w:spacing w:after="48"/>
        <w:jc w:val="both"/>
        <w:textAlignment w:val="baseline"/>
        <w:rPr>
          <w:rFonts w:ascii="Arial" w:hAnsi="Arial" w:cs="Arial"/>
          <w:color w:val="231F20"/>
          <w:sz w:val="22"/>
          <w:szCs w:val="22"/>
        </w:rPr>
      </w:pPr>
    </w:p>
    <w:p w:rsidR="00247E74" w:rsidRPr="00942BA3" w:rsidRDefault="00247E74" w:rsidP="00E41D4A">
      <w:pPr>
        <w:spacing w:after="48"/>
        <w:jc w:val="both"/>
        <w:textAlignment w:val="baseline"/>
        <w:rPr>
          <w:rFonts w:ascii="Arial" w:hAnsi="Arial" w:cs="Arial"/>
          <w:color w:val="231F20"/>
          <w:sz w:val="22"/>
          <w:szCs w:val="22"/>
        </w:rPr>
      </w:pPr>
      <w:r w:rsidRPr="00942BA3">
        <w:rPr>
          <w:rFonts w:ascii="Arial" w:hAnsi="Arial" w:cs="Arial"/>
          <w:color w:val="231F20"/>
          <w:sz w:val="22"/>
          <w:szCs w:val="22"/>
        </w:rPr>
        <w:t>2 Nuklearne elektrane i drugi nuklearni reaktori prestaju biti takva postrojenja nakon što se cjelokupno nuklearno gorivo i drugi radioaktivno onečišćeni dijelovi opreme trajno odstrane s lokacije postrojenja.</w:t>
      </w:r>
    </w:p>
    <w:p w:rsidR="00247E74" w:rsidRPr="00942BA3" w:rsidRDefault="00247E74" w:rsidP="00E41D4A">
      <w:pPr>
        <w:jc w:val="both"/>
        <w:rPr>
          <w:rFonts w:ascii="Arial" w:hAnsi="Arial" w:cs="Arial"/>
          <w:sz w:val="22"/>
        </w:rPr>
      </w:pPr>
    </w:p>
    <w:p w:rsidR="00991DC1" w:rsidRPr="00942BA3" w:rsidRDefault="00991DC1" w:rsidP="00E41D4A">
      <w:pPr>
        <w:jc w:val="both"/>
        <w:rPr>
          <w:rFonts w:ascii="Arial" w:hAnsi="Arial" w:cs="Arial"/>
          <w:sz w:val="22"/>
        </w:rPr>
      </w:pPr>
    </w:p>
    <w:sectPr w:rsidR="00991DC1" w:rsidRPr="00942BA3"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33" w:rsidRDefault="000C6133">
      <w:r>
        <w:separator/>
      </w:r>
    </w:p>
  </w:endnote>
  <w:endnote w:type="continuationSeparator" w:id="0">
    <w:p w:rsidR="000C6133" w:rsidRDefault="000C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33" w:rsidRDefault="000C6133">
      <w:r>
        <w:separator/>
      </w:r>
    </w:p>
  </w:footnote>
  <w:footnote w:type="continuationSeparator" w:id="0">
    <w:p w:rsidR="000C6133" w:rsidRDefault="000C6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5"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4C755CE0"/>
    <w:multiLevelType w:val="hybridMultilevel"/>
    <w:tmpl w:val="5C662042"/>
    <w:lvl w:ilvl="0" w:tplc="F94A1A88">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8"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BBF00D3"/>
    <w:multiLevelType w:val="hybridMultilevel"/>
    <w:tmpl w:val="835494EA"/>
    <w:lvl w:ilvl="0" w:tplc="4888120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6CD868A8"/>
    <w:multiLevelType w:val="hybridMultilevel"/>
    <w:tmpl w:val="835494EA"/>
    <w:lvl w:ilvl="0" w:tplc="4888120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7A893C60"/>
    <w:multiLevelType w:val="hybridMultilevel"/>
    <w:tmpl w:val="718C61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2"/>
  </w:num>
  <w:num w:numId="5">
    <w:abstractNumId w:val="3"/>
  </w:num>
  <w:num w:numId="6">
    <w:abstractNumId w:val="7"/>
  </w:num>
  <w:num w:numId="7">
    <w:abstractNumId w:val="0"/>
  </w:num>
  <w:num w:numId="8">
    <w:abstractNumId w:val="4"/>
  </w:num>
  <w:num w:numId="9">
    <w:abstractNumId w:val="12"/>
  </w:num>
  <w:num w:numId="10">
    <w:abstractNumId w:val="8"/>
  </w:num>
  <w:num w:numId="11">
    <w:abstractNumId w:val="6"/>
  </w:num>
  <w:num w:numId="12">
    <w:abstractNumId w:val="1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B"/>
    <w:rsid w:val="000B1245"/>
    <w:rsid w:val="000C6133"/>
    <w:rsid w:val="00247E74"/>
    <w:rsid w:val="0031576F"/>
    <w:rsid w:val="0042212A"/>
    <w:rsid w:val="004B0391"/>
    <w:rsid w:val="00576D45"/>
    <w:rsid w:val="0058317C"/>
    <w:rsid w:val="006D78DE"/>
    <w:rsid w:val="00903E26"/>
    <w:rsid w:val="00904A71"/>
    <w:rsid w:val="009161AD"/>
    <w:rsid w:val="00932A9B"/>
    <w:rsid w:val="00942BA3"/>
    <w:rsid w:val="00991DC1"/>
    <w:rsid w:val="009A6AA3"/>
    <w:rsid w:val="009C3BE7"/>
    <w:rsid w:val="00A44362"/>
    <w:rsid w:val="00D75ED3"/>
    <w:rsid w:val="00E41D4A"/>
    <w:rsid w:val="00F7051F"/>
    <w:rsid w:val="00FF55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B3491"/>
  <w15:chartTrackingRefBased/>
  <w15:docId w15:val="{3D6E7369-851B-42AA-8BCC-A4AD9E9A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A9B"/>
    <w:rPr>
      <w:sz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932A9B"/>
    <w:pPr>
      <w:ind w:left="720"/>
      <w:contextualSpacing/>
    </w:pPr>
  </w:style>
  <w:style w:type="paragraph" w:styleId="StandardWeb">
    <w:name w:val="Normal (Web)"/>
    <w:basedOn w:val="Normal"/>
    <w:uiPriority w:val="99"/>
    <w:unhideWhenUsed/>
    <w:rsid w:val="00991DC1"/>
    <w:pPr>
      <w:spacing w:before="100" w:beforeAutospacing="1" w:after="100" w:afterAutospacing="1"/>
    </w:pPr>
    <w:rPr>
      <w:rFonts w:eastAsiaTheme="minorHAnsi"/>
      <w:szCs w:val="24"/>
    </w:rPr>
  </w:style>
  <w:style w:type="paragraph" w:styleId="Tekstbalonia">
    <w:name w:val="Balloon Text"/>
    <w:basedOn w:val="Normal"/>
    <w:link w:val="TekstbaloniaChar"/>
    <w:uiPriority w:val="99"/>
    <w:semiHidden/>
    <w:unhideWhenUsed/>
    <w:rsid w:val="00247E7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47E74"/>
    <w:rPr>
      <w:rFonts w:ascii="Segoe UI" w:hAnsi="Segoe UI" w:cs="Segoe UI"/>
      <w:sz w:val="18"/>
      <w:szCs w:val="18"/>
    </w:rPr>
  </w:style>
  <w:style w:type="paragraph" w:customStyle="1" w:styleId="box453351">
    <w:name w:val="box_453351"/>
    <w:basedOn w:val="Normal"/>
    <w:rsid w:val="00247E74"/>
    <w:pPr>
      <w:spacing w:before="100" w:beforeAutospacing="1" w:after="100" w:afterAutospacing="1"/>
    </w:pPr>
    <w:rPr>
      <w:szCs w:val="24"/>
    </w:rPr>
  </w:style>
  <w:style w:type="paragraph" w:customStyle="1" w:styleId="t-9-8-bez-uvl">
    <w:name w:val="t-9-8-bez-uvl"/>
    <w:basedOn w:val="Normal"/>
    <w:rsid w:val="00247E74"/>
    <w:pPr>
      <w:spacing w:before="100" w:beforeAutospacing="1" w:after="100" w:afterAutospacing="1"/>
    </w:pPr>
    <w:rPr>
      <w:szCs w:val="24"/>
    </w:rPr>
  </w:style>
  <w:style w:type="character" w:customStyle="1" w:styleId="apple-converted-space">
    <w:name w:val="apple-converted-space"/>
    <w:basedOn w:val="Zadanifontodlomka"/>
    <w:rsid w:val="00247E74"/>
  </w:style>
  <w:style w:type="character" w:styleId="Hiperveza">
    <w:name w:val="Hyperlink"/>
    <w:basedOn w:val="Zadanifontodlomka"/>
    <w:uiPriority w:val="99"/>
    <w:unhideWhenUsed/>
    <w:rsid w:val="00E41D4A"/>
    <w:rPr>
      <w:color w:val="0000FF"/>
      <w:u w:val="single"/>
    </w:rPr>
  </w:style>
  <w:style w:type="character" w:styleId="SlijeenaHiperveza">
    <w:name w:val="FollowedHyperlink"/>
    <w:basedOn w:val="Zadanifontodlomka"/>
    <w:uiPriority w:val="99"/>
    <w:semiHidden/>
    <w:unhideWhenUsed/>
    <w:rsid w:val="00F70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18060">
      <w:bodyDiv w:val="1"/>
      <w:marLeft w:val="0"/>
      <w:marRight w:val="0"/>
      <w:marTop w:val="0"/>
      <w:marBottom w:val="0"/>
      <w:divBdr>
        <w:top w:val="none" w:sz="0" w:space="0" w:color="auto"/>
        <w:left w:val="none" w:sz="0" w:space="0" w:color="auto"/>
        <w:bottom w:val="none" w:sz="0" w:space="0" w:color="auto"/>
        <w:right w:val="none" w:sz="0" w:space="0" w:color="auto"/>
      </w:divBdr>
    </w:div>
    <w:div w:id="10624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3_12_153_3221.html" TargetMode="External"/><Relationship Id="rId13" Type="http://schemas.openxmlformats.org/officeDocument/2006/relationships/hyperlink" Target="http://narodne-novine.nn.hr/clanci/sluzbeni/2013_12_153_3220.html" TargetMode="External"/><Relationship Id="rId18" Type="http://schemas.openxmlformats.org/officeDocument/2006/relationships/hyperlink" Target="http://narodne-novine.nn.hr/clanci/sluzbeni/2013_12_153_3220.html" TargetMode="External"/><Relationship Id="rId26" Type="http://schemas.openxmlformats.org/officeDocument/2006/relationships/hyperlink" Target="http://narodne-novine.nn.hr/clanci/sluzbeni/2013_06_80_1658.html" TargetMode="External"/><Relationship Id="rId3" Type="http://schemas.openxmlformats.org/officeDocument/2006/relationships/settings" Target="settings.xml"/><Relationship Id="rId21" Type="http://schemas.openxmlformats.org/officeDocument/2006/relationships/hyperlink" Target="http://narodne-novine.nn.hr/clanci/sluzbeni/2013_12_153_3220.html" TargetMode="External"/><Relationship Id="rId34" Type="http://schemas.openxmlformats.org/officeDocument/2006/relationships/theme" Target="theme/theme1.xml"/><Relationship Id="rId7" Type="http://schemas.openxmlformats.org/officeDocument/2006/relationships/hyperlink" Target="http://narodne-novine.nn.hr/clanci/sluzbeni/2013_06_80_1658.html" TargetMode="External"/><Relationship Id="rId12" Type="http://schemas.openxmlformats.org/officeDocument/2006/relationships/hyperlink" Target="http://narodne-novine.nn.hr/clanci/sluzbeni/2017_03_20_456.html" TargetMode="External"/><Relationship Id="rId17" Type="http://schemas.openxmlformats.org/officeDocument/2006/relationships/hyperlink" Target="http://narodne-novine.nn.hr/clanci/sluzbeni/2013_12_153_3220.html" TargetMode="External"/><Relationship Id="rId25" Type="http://schemas.openxmlformats.org/officeDocument/2006/relationships/hyperlink" Target="http://narodne-novine.nn.hr/clanci/sluzbeni/2017_01_3_118.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arodne-novine.nn.hr/clanci/sluzbeni/2013_12_153_3220.html" TargetMode="External"/><Relationship Id="rId20" Type="http://schemas.openxmlformats.org/officeDocument/2006/relationships/hyperlink" Target="http://narodne-novine.nn.hr/clanci/sluzbeni/2017_03_20_456.html" TargetMode="External"/><Relationship Id="rId29" Type="http://schemas.openxmlformats.org/officeDocument/2006/relationships/hyperlink" Target="http://narodne-novine.nn.hr/clanci/sluzbeni/2013_12_153_322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rodne-novine.nn.hr/clanci/sluzbeni/2013_12_153_3221.html" TargetMode="External"/><Relationship Id="rId24" Type="http://schemas.openxmlformats.org/officeDocument/2006/relationships/hyperlink" Target="http://narodne-novine.nn.hr/clanci/sluzbeni/2014_05_61_1138.html" TargetMode="External"/><Relationship Id="rId32" Type="http://schemas.openxmlformats.org/officeDocument/2006/relationships/hyperlink" Target="http://narodne-novine.nn.hr/clanci/sluzbeni/2017_01_3_118.html" TargetMode="External"/><Relationship Id="rId5" Type="http://schemas.openxmlformats.org/officeDocument/2006/relationships/footnotes" Target="footnotes.xml"/><Relationship Id="rId15" Type="http://schemas.openxmlformats.org/officeDocument/2006/relationships/hyperlink" Target="http://narodne-novine.nn.hr/clanci/sluzbeni/2017_03_20_456.html" TargetMode="External"/><Relationship Id="rId23" Type="http://schemas.openxmlformats.org/officeDocument/2006/relationships/hyperlink" Target="http://narodne-novine.nn.hr/clanci/sluzbeni/2014_12_146_2738.html" TargetMode="External"/><Relationship Id="rId28" Type="http://schemas.openxmlformats.org/officeDocument/2006/relationships/hyperlink" Target="http://narodne-novine.nn.hr/clanci/sluzbeni/2017_01_3_118.html" TargetMode="External"/><Relationship Id="rId10" Type="http://schemas.openxmlformats.org/officeDocument/2006/relationships/hyperlink" Target="http://narodne-novine.nn.hr/clanci/sluzbeni/2013_12_153_3220.html" TargetMode="External"/><Relationship Id="rId19" Type="http://schemas.openxmlformats.org/officeDocument/2006/relationships/hyperlink" Target="http://narodne-novine.nn.hr/clanci/sluzbeni/2013_12_153_3221.html" TargetMode="External"/><Relationship Id="rId31" Type="http://schemas.openxmlformats.org/officeDocument/2006/relationships/hyperlink" Target="http://narodne-novine.nn.hr/clanci/sluzbeni/2014_05_61_1138.html" TargetMode="External"/><Relationship Id="rId4" Type="http://schemas.openxmlformats.org/officeDocument/2006/relationships/webSettings" Target="webSettings.xml"/><Relationship Id="rId9" Type="http://schemas.openxmlformats.org/officeDocument/2006/relationships/hyperlink" Target="http://narodne-novine.nn.hr/clanci/sluzbeni/2017_03_20_456.html" TargetMode="External"/><Relationship Id="rId14" Type="http://schemas.openxmlformats.org/officeDocument/2006/relationships/hyperlink" Target="http://narodne-novine.nn.hr/clanci/sluzbeni/2013_12_153_3221.html" TargetMode="External"/><Relationship Id="rId22" Type="http://schemas.openxmlformats.org/officeDocument/2006/relationships/hyperlink" Target="http://narodne-novine.nn.hr/clanci/sluzbeni/2013_06_80_1658.html" TargetMode="External"/><Relationship Id="rId27" Type="http://schemas.openxmlformats.org/officeDocument/2006/relationships/hyperlink" Target="http://narodne-novine.nn.hr/clanci/sluzbeni/2014_05_61_1138.html" TargetMode="External"/><Relationship Id="rId30" Type="http://schemas.openxmlformats.org/officeDocument/2006/relationships/hyperlink" Target="http://narodne-novine.nn.hr/clanci/sluzbeni/2017_03_20_456.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13</Pages>
  <Words>3610</Words>
  <Characters>23537</Characters>
  <Application>Microsoft Office Word</Application>
  <DocSecurity>0</DocSecurity>
  <Lines>196</Lines>
  <Paragraphs>54</Paragraphs>
  <ScaleCrop>false</ScaleCrop>
  <HeadingPairs>
    <vt:vector size="2" baseType="variant">
      <vt:variant>
        <vt:lpstr>Naslov</vt:lpstr>
      </vt:variant>
      <vt:variant>
        <vt:i4>1</vt:i4>
      </vt:variant>
    </vt:vector>
  </HeadingPairs>
  <TitlesOfParts>
    <vt:vector size="1" baseType="lpstr">
      <vt:lpstr/>
    </vt:vector>
  </TitlesOfParts>
  <Company>Istarska županija - Regione Istriana</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Mandić</dc:creator>
  <cp:keywords/>
  <dc:description/>
  <cp:lastModifiedBy>Andrej Mandić</cp:lastModifiedBy>
  <cp:revision>7</cp:revision>
  <cp:lastPrinted>2017-05-02T06:31:00Z</cp:lastPrinted>
  <dcterms:created xsi:type="dcterms:W3CDTF">2017-05-02T08:16:00Z</dcterms:created>
  <dcterms:modified xsi:type="dcterms:W3CDTF">2017-05-08T09:47:00Z</dcterms:modified>
</cp:coreProperties>
</file>