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332E1" w14:textId="77777777" w:rsidR="00311937" w:rsidRDefault="003C2263">
      <w:pPr>
        <w:pStyle w:val="Standard"/>
        <w:rPr>
          <w:b/>
          <w:bCs/>
          <w:i/>
          <w:iCs/>
          <w:sz w:val="26"/>
          <w:szCs w:val="26"/>
        </w:rPr>
      </w:pPr>
      <w:r>
        <w:rPr>
          <w:b/>
          <w:bCs/>
          <w:i/>
          <w:iCs/>
          <w:sz w:val="26"/>
          <w:szCs w:val="26"/>
        </w:rPr>
        <w:t>IRENA - Istarska Regionalna</w:t>
      </w:r>
    </w:p>
    <w:p w14:paraId="5613913E" w14:textId="77777777" w:rsidR="00311937" w:rsidRDefault="003C2263">
      <w:pPr>
        <w:pStyle w:val="Standard"/>
        <w:rPr>
          <w:b/>
          <w:bCs/>
          <w:i/>
          <w:iCs/>
          <w:sz w:val="26"/>
          <w:szCs w:val="26"/>
        </w:rPr>
      </w:pPr>
      <w:r>
        <w:rPr>
          <w:b/>
          <w:bCs/>
          <w:i/>
          <w:iCs/>
          <w:sz w:val="26"/>
          <w:szCs w:val="26"/>
        </w:rPr>
        <w:t>Energetska Agencija d.o.o.</w:t>
      </w:r>
    </w:p>
    <w:p w14:paraId="47B7D782" w14:textId="77777777" w:rsidR="00311937" w:rsidRDefault="003C2263">
      <w:pPr>
        <w:pStyle w:val="Standard"/>
        <w:rPr>
          <w:b/>
          <w:bCs/>
          <w:i/>
          <w:iCs/>
          <w:sz w:val="26"/>
          <w:szCs w:val="26"/>
        </w:rPr>
      </w:pPr>
      <w:r>
        <w:rPr>
          <w:b/>
          <w:bCs/>
          <w:i/>
          <w:iCs/>
          <w:sz w:val="26"/>
          <w:szCs w:val="26"/>
        </w:rPr>
        <w:t>Rudarska 1</w:t>
      </w:r>
    </w:p>
    <w:p w14:paraId="72D363D9" w14:textId="77777777" w:rsidR="00311937" w:rsidRDefault="003C2263">
      <w:pPr>
        <w:pStyle w:val="Standard"/>
      </w:pPr>
      <w:r>
        <w:t xml:space="preserve">52220 LABIN                                                                                                                           </w:t>
      </w:r>
    </w:p>
    <w:p w14:paraId="32AA82EE" w14:textId="77777777" w:rsidR="00311937" w:rsidRDefault="00311937">
      <w:pPr>
        <w:pStyle w:val="Standard"/>
      </w:pPr>
    </w:p>
    <w:p w14:paraId="526DAB1E" w14:textId="77777777" w:rsidR="00311937" w:rsidRDefault="00311937">
      <w:pPr>
        <w:pStyle w:val="Standard"/>
      </w:pPr>
    </w:p>
    <w:p w14:paraId="544A82C0" w14:textId="77777777" w:rsidR="00311937" w:rsidRDefault="00311937">
      <w:pPr>
        <w:pStyle w:val="Standard"/>
      </w:pPr>
    </w:p>
    <w:p w14:paraId="4986EC52" w14:textId="77777777" w:rsidR="00311937" w:rsidRDefault="003C2263">
      <w:pPr>
        <w:pStyle w:val="Standard"/>
        <w:rPr>
          <w:b/>
          <w:bCs/>
        </w:rPr>
      </w:pPr>
      <w:r>
        <w:rPr>
          <w:b/>
          <w:bCs/>
        </w:rPr>
        <w:t>PLAN POSLOVANJA ZA 2022. GODINU</w:t>
      </w:r>
    </w:p>
    <w:p w14:paraId="5824E732" w14:textId="77777777" w:rsidR="00311937" w:rsidRDefault="00311937">
      <w:pPr>
        <w:pStyle w:val="Standard"/>
      </w:pPr>
    </w:p>
    <w:p w14:paraId="7F8749BF" w14:textId="70722460" w:rsidR="002609FB" w:rsidRPr="002609FB" w:rsidRDefault="00FE01BA">
      <w:pPr>
        <w:pStyle w:val="Standard"/>
        <w:rPr>
          <w:b/>
          <w:bCs/>
          <w:color w:val="7030A0"/>
        </w:rPr>
      </w:pPr>
      <w:r>
        <w:t xml:space="preserve"> </w:t>
      </w:r>
    </w:p>
    <w:p w14:paraId="43C8C63E" w14:textId="77777777" w:rsidR="00311937" w:rsidRDefault="003C2263">
      <w:pPr>
        <w:pStyle w:val="Standard"/>
      </w:pPr>
      <w:r>
        <w:t xml:space="preserve">                                                                                                                                                                               </w:t>
      </w:r>
    </w:p>
    <w:p w14:paraId="086A063A" w14:textId="77777777" w:rsidR="00311937" w:rsidRDefault="003C2263">
      <w:pPr>
        <w:pStyle w:val="Standard"/>
      </w:pPr>
      <w:r>
        <w:t xml:space="preserve">                                                  REDOVNO POSL.         EU PROJEKTI          SVEUKUPNO           </w:t>
      </w:r>
    </w:p>
    <w:tbl>
      <w:tblPr>
        <w:tblW w:w="9615" w:type="dxa"/>
        <w:tblInd w:w="-39" w:type="dxa"/>
        <w:tblLayout w:type="fixed"/>
        <w:tblCellMar>
          <w:left w:w="10" w:type="dxa"/>
          <w:right w:w="10" w:type="dxa"/>
        </w:tblCellMar>
        <w:tblLook w:val="04A0" w:firstRow="1" w:lastRow="0" w:firstColumn="1" w:lastColumn="0" w:noHBand="0" w:noVBand="1"/>
      </w:tblPr>
      <w:tblGrid>
        <w:gridCol w:w="2895"/>
        <w:gridCol w:w="2370"/>
        <w:gridCol w:w="2265"/>
        <w:gridCol w:w="2085"/>
      </w:tblGrid>
      <w:tr w:rsidR="00311937" w14:paraId="6A4CCFD9" w14:textId="77777777">
        <w:tc>
          <w:tcPr>
            <w:tcW w:w="28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67DA068" w14:textId="77777777" w:rsidR="00311937" w:rsidRDefault="003C2263">
            <w:pPr>
              <w:pStyle w:val="TableContents"/>
              <w:rPr>
                <w:b/>
                <w:bCs/>
              </w:rPr>
            </w:pPr>
            <w:r>
              <w:rPr>
                <w:b/>
                <w:bCs/>
              </w:rPr>
              <w:t>A) UKUPNI PRIHODI</w:t>
            </w:r>
          </w:p>
          <w:p w14:paraId="7C7F9E9A" w14:textId="77777777" w:rsidR="00311937" w:rsidRDefault="00311937">
            <w:pPr>
              <w:pStyle w:val="TableContents"/>
              <w:rPr>
                <w:b/>
                <w:bCs/>
              </w:rPr>
            </w:pPr>
          </w:p>
          <w:p w14:paraId="46F47E91" w14:textId="77777777" w:rsidR="00311937" w:rsidRDefault="003C2263">
            <w:pPr>
              <w:pStyle w:val="TableContents"/>
            </w:pPr>
            <w:r>
              <w:rPr>
                <w:b/>
                <w:bCs/>
              </w:rPr>
              <w:t>a)</w:t>
            </w:r>
            <w:r>
              <w:t xml:space="preserve"> prihodi od donacija.-IŽ</w:t>
            </w:r>
          </w:p>
          <w:p w14:paraId="2CA86DFF" w14:textId="77777777" w:rsidR="00311937" w:rsidRDefault="00311937">
            <w:pPr>
              <w:pStyle w:val="TableContents"/>
            </w:pPr>
          </w:p>
          <w:p w14:paraId="5490AA00" w14:textId="77777777" w:rsidR="00311937" w:rsidRDefault="003C2263">
            <w:pPr>
              <w:pStyle w:val="TableContents"/>
            </w:pPr>
            <w:r>
              <w:rPr>
                <w:b/>
                <w:bCs/>
              </w:rPr>
              <w:t>b)</w:t>
            </w:r>
            <w:r>
              <w:t xml:space="preserve"> EU projekti</w:t>
            </w:r>
          </w:p>
          <w:p w14:paraId="4CD69E16" w14:textId="77777777" w:rsidR="00311937" w:rsidRDefault="003C2263">
            <w:pPr>
              <w:pStyle w:val="TableContents"/>
            </w:pPr>
            <w:r>
              <w:t>COAST ENERGY, CAPONLITTER,CITYMINDED I MARLESS</w:t>
            </w:r>
          </w:p>
        </w:tc>
        <w:tc>
          <w:tcPr>
            <w:tcW w:w="23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7B94E5" w14:textId="77777777" w:rsidR="00311937" w:rsidRDefault="003C2263">
            <w:pPr>
              <w:pStyle w:val="TableContents"/>
              <w:rPr>
                <w:b/>
                <w:bCs/>
              </w:rPr>
            </w:pPr>
            <w:r>
              <w:rPr>
                <w:b/>
                <w:bCs/>
              </w:rPr>
              <w:t xml:space="preserve">350.000                    </w:t>
            </w:r>
          </w:p>
          <w:p w14:paraId="000C0C68" w14:textId="77777777" w:rsidR="00311937" w:rsidRDefault="00311937">
            <w:pPr>
              <w:pStyle w:val="TableContents"/>
              <w:rPr>
                <w:b/>
                <w:bCs/>
              </w:rPr>
            </w:pPr>
          </w:p>
          <w:p w14:paraId="6944A4E1" w14:textId="77777777" w:rsidR="00311937" w:rsidRDefault="003C2263">
            <w:pPr>
              <w:pStyle w:val="TableContents"/>
            </w:pPr>
            <w:r>
              <w:rPr>
                <w:b/>
                <w:bCs/>
              </w:rPr>
              <w:t xml:space="preserve">350.000 </w:t>
            </w:r>
            <w:r>
              <w:t xml:space="preserve">                      </w:t>
            </w:r>
          </w:p>
          <w:p w14:paraId="0976474D" w14:textId="77777777" w:rsidR="00311937" w:rsidRDefault="00311937">
            <w:pPr>
              <w:pStyle w:val="TableContents"/>
            </w:pPr>
          </w:p>
          <w:p w14:paraId="199A03E1" w14:textId="77777777" w:rsidR="00311937" w:rsidRDefault="003C2263">
            <w:pPr>
              <w:pStyle w:val="TableContents"/>
            </w:pPr>
            <w:r>
              <w:t xml:space="preserve">                    </w:t>
            </w:r>
          </w:p>
          <w:p w14:paraId="44939D57" w14:textId="77777777" w:rsidR="00311937" w:rsidRDefault="00311937">
            <w:pPr>
              <w:pStyle w:val="TableContents"/>
            </w:pPr>
          </w:p>
          <w:p w14:paraId="6E07DAD5" w14:textId="77777777" w:rsidR="00311937" w:rsidRDefault="00311937">
            <w:pPr>
              <w:pStyle w:val="TableContents"/>
            </w:pPr>
          </w:p>
        </w:tc>
        <w:tc>
          <w:tcPr>
            <w:tcW w:w="22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E63217A" w14:textId="77777777" w:rsidR="00311937" w:rsidRDefault="003C2263">
            <w:pPr>
              <w:pStyle w:val="TableContents"/>
              <w:rPr>
                <w:b/>
                <w:bCs/>
              </w:rPr>
            </w:pPr>
            <w:r>
              <w:rPr>
                <w:b/>
                <w:bCs/>
              </w:rPr>
              <w:t>2.373.775</w:t>
            </w:r>
          </w:p>
          <w:p w14:paraId="7C082826" w14:textId="77777777" w:rsidR="00311937" w:rsidRDefault="00311937">
            <w:pPr>
              <w:pStyle w:val="TableContents"/>
              <w:rPr>
                <w:b/>
                <w:bCs/>
              </w:rPr>
            </w:pPr>
          </w:p>
          <w:p w14:paraId="5FF92A0C" w14:textId="77777777" w:rsidR="00311937" w:rsidRDefault="00311937">
            <w:pPr>
              <w:pStyle w:val="TableContents"/>
              <w:rPr>
                <w:b/>
                <w:bCs/>
              </w:rPr>
            </w:pPr>
          </w:p>
          <w:p w14:paraId="74CEEC17" w14:textId="77777777" w:rsidR="00311937" w:rsidRDefault="00311937">
            <w:pPr>
              <w:pStyle w:val="TableContents"/>
              <w:rPr>
                <w:b/>
                <w:bCs/>
              </w:rPr>
            </w:pPr>
          </w:p>
          <w:p w14:paraId="41443779" w14:textId="77777777" w:rsidR="00311937" w:rsidRDefault="003C2263">
            <w:pPr>
              <w:pStyle w:val="TableContents"/>
              <w:rPr>
                <w:b/>
                <w:bCs/>
              </w:rPr>
            </w:pPr>
            <w:r>
              <w:rPr>
                <w:b/>
                <w:bCs/>
              </w:rPr>
              <w:t>2.373.775</w:t>
            </w:r>
          </w:p>
          <w:p w14:paraId="71110661" w14:textId="77777777" w:rsidR="00311937" w:rsidRDefault="00311937">
            <w:pPr>
              <w:pStyle w:val="TableContents"/>
              <w:rPr>
                <w:b/>
                <w:bCs/>
              </w:rPr>
            </w:pPr>
          </w:p>
        </w:tc>
        <w:tc>
          <w:tcPr>
            <w:tcW w:w="20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2EA6E2" w14:textId="77777777" w:rsidR="00311937" w:rsidRDefault="003C2263">
            <w:pPr>
              <w:pStyle w:val="TableContents"/>
              <w:rPr>
                <w:b/>
                <w:bCs/>
              </w:rPr>
            </w:pPr>
            <w:r>
              <w:rPr>
                <w:b/>
                <w:bCs/>
              </w:rPr>
              <w:t>2.723.775</w:t>
            </w:r>
          </w:p>
          <w:p w14:paraId="59C4F874" w14:textId="77777777" w:rsidR="00311937" w:rsidRDefault="00311937">
            <w:pPr>
              <w:pStyle w:val="TableContents"/>
              <w:rPr>
                <w:b/>
                <w:bCs/>
              </w:rPr>
            </w:pPr>
          </w:p>
          <w:p w14:paraId="747C5780" w14:textId="77777777" w:rsidR="00311937" w:rsidRDefault="003C2263">
            <w:pPr>
              <w:pStyle w:val="TableContents"/>
              <w:rPr>
                <w:b/>
                <w:bCs/>
              </w:rPr>
            </w:pPr>
            <w:r>
              <w:rPr>
                <w:b/>
                <w:bCs/>
              </w:rPr>
              <w:t>350.000</w:t>
            </w:r>
          </w:p>
          <w:p w14:paraId="6135AFC7" w14:textId="77777777" w:rsidR="00311937" w:rsidRDefault="00311937">
            <w:pPr>
              <w:pStyle w:val="TableContents"/>
              <w:rPr>
                <w:b/>
                <w:bCs/>
              </w:rPr>
            </w:pPr>
          </w:p>
          <w:p w14:paraId="63A53CE2" w14:textId="77777777" w:rsidR="00311937" w:rsidRDefault="003C2263">
            <w:pPr>
              <w:pStyle w:val="TableContents"/>
              <w:rPr>
                <w:b/>
                <w:bCs/>
              </w:rPr>
            </w:pPr>
            <w:r>
              <w:rPr>
                <w:b/>
                <w:bCs/>
              </w:rPr>
              <w:t>2.373.775</w:t>
            </w:r>
          </w:p>
          <w:p w14:paraId="551D90E7" w14:textId="77777777" w:rsidR="00311937" w:rsidRDefault="00311937">
            <w:pPr>
              <w:pStyle w:val="TableContents"/>
              <w:rPr>
                <w:b/>
                <w:bCs/>
              </w:rPr>
            </w:pPr>
          </w:p>
        </w:tc>
      </w:tr>
      <w:tr w:rsidR="00311937" w14:paraId="777F57A9" w14:textId="77777777">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14:paraId="1FCEA12F" w14:textId="77777777" w:rsidR="00311937" w:rsidRDefault="003C2263">
            <w:pPr>
              <w:pStyle w:val="TableContents"/>
              <w:rPr>
                <w:b/>
                <w:bCs/>
              </w:rPr>
            </w:pPr>
            <w:r>
              <w:rPr>
                <w:b/>
                <w:bCs/>
              </w:rPr>
              <w:t>B) UKUPNI RASHODI</w:t>
            </w:r>
          </w:p>
          <w:p w14:paraId="550A4A63" w14:textId="77777777" w:rsidR="00311937" w:rsidRDefault="00311937">
            <w:pPr>
              <w:pStyle w:val="TableContents"/>
              <w:rPr>
                <w:b/>
                <w:bCs/>
              </w:rPr>
            </w:pPr>
          </w:p>
          <w:p w14:paraId="06D4884B" w14:textId="77777777" w:rsidR="00311937" w:rsidRDefault="003C2263">
            <w:pPr>
              <w:pStyle w:val="TableContents"/>
            </w:pPr>
            <w:r>
              <w:rPr>
                <w:b/>
                <w:bCs/>
              </w:rPr>
              <w:t>a)</w:t>
            </w:r>
            <w:r>
              <w:t xml:space="preserve"> </w:t>
            </w:r>
            <w:r>
              <w:rPr>
                <w:b/>
                <w:bCs/>
              </w:rPr>
              <w:t>troškovi materijala</w:t>
            </w:r>
          </w:p>
          <w:p w14:paraId="227D4DEF" w14:textId="77777777" w:rsidR="00311937" w:rsidRDefault="003C2263">
            <w:pPr>
              <w:pStyle w:val="TableContents"/>
            </w:pPr>
            <w:r>
              <w:t>-uredski materijali ,ostali  režijski mat.</w:t>
            </w:r>
          </w:p>
          <w:p w14:paraId="3C239581" w14:textId="77777777" w:rsidR="00311937" w:rsidRDefault="003C2263">
            <w:pPr>
              <w:pStyle w:val="TableContents"/>
            </w:pPr>
            <w:r>
              <w:t>-motorni benzin za osobno vozilo</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14:paraId="3C2B3ADF" w14:textId="77777777" w:rsidR="00311937" w:rsidRDefault="003C2263">
            <w:pPr>
              <w:pStyle w:val="TableContents"/>
              <w:rPr>
                <w:b/>
                <w:bCs/>
              </w:rPr>
            </w:pPr>
            <w:r>
              <w:rPr>
                <w:b/>
                <w:bCs/>
              </w:rPr>
              <w:t xml:space="preserve">303.200              </w:t>
            </w:r>
          </w:p>
          <w:p w14:paraId="617E6203" w14:textId="77777777" w:rsidR="00311937" w:rsidRDefault="00311937">
            <w:pPr>
              <w:pStyle w:val="TableContents"/>
              <w:rPr>
                <w:b/>
                <w:bCs/>
              </w:rPr>
            </w:pPr>
          </w:p>
          <w:p w14:paraId="48830799" w14:textId="191847B0" w:rsidR="00311937" w:rsidRDefault="003C2263">
            <w:pPr>
              <w:pStyle w:val="TableContents"/>
              <w:rPr>
                <w:b/>
                <w:bCs/>
              </w:rPr>
            </w:pPr>
            <w:r>
              <w:rPr>
                <w:b/>
                <w:bCs/>
              </w:rPr>
              <w:t>1.000</w:t>
            </w:r>
            <w:r w:rsidR="00B96EEF">
              <w:rPr>
                <w:b/>
                <w:bCs/>
              </w:rPr>
              <w:t xml:space="preserve"> </w:t>
            </w:r>
          </w:p>
          <w:p w14:paraId="65C751BF" w14:textId="77777777" w:rsidR="00311937" w:rsidRDefault="003C2263">
            <w:pPr>
              <w:pStyle w:val="TableContents"/>
              <w:rPr>
                <w:b/>
                <w:bCs/>
              </w:rPr>
            </w:pPr>
            <w:r>
              <w:rPr>
                <w:b/>
                <w:bCs/>
              </w:rPr>
              <w:t>500</w:t>
            </w:r>
          </w:p>
          <w:p w14:paraId="2A97EC12" w14:textId="77777777" w:rsidR="00311937" w:rsidRDefault="00311937">
            <w:pPr>
              <w:pStyle w:val="TableContents"/>
              <w:rPr>
                <w:b/>
                <w:bCs/>
              </w:rPr>
            </w:pPr>
          </w:p>
          <w:p w14:paraId="214846A8" w14:textId="51EAE6D1" w:rsidR="00311937" w:rsidRPr="00E56C75" w:rsidRDefault="003C2263">
            <w:pPr>
              <w:pStyle w:val="TableContents"/>
              <w:rPr>
                <w:b/>
                <w:bCs/>
                <w:color w:val="FF0000"/>
              </w:rPr>
            </w:pPr>
            <w:r>
              <w:rPr>
                <w:b/>
                <w:bCs/>
              </w:rPr>
              <w:t>500</w:t>
            </w:r>
            <w:r w:rsidR="00E56C75">
              <w:rPr>
                <w:b/>
                <w:bCs/>
              </w:rPr>
              <w:t xml:space="preserve"> </w:t>
            </w:r>
          </w:p>
          <w:p w14:paraId="6CCB65E2" w14:textId="77777777" w:rsidR="00311937" w:rsidRDefault="003C2263">
            <w:pPr>
              <w:pStyle w:val="TableContents"/>
              <w:rPr>
                <w:b/>
                <w:bCs/>
              </w:rPr>
            </w:pPr>
            <w:r>
              <w:rPr>
                <w:b/>
                <w:bCs/>
              </w:rPr>
              <w:t xml:space="preserve">                   </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52107A8C" w14:textId="77777777" w:rsidR="00311937" w:rsidRDefault="003C2263">
            <w:pPr>
              <w:pStyle w:val="TableContents"/>
              <w:rPr>
                <w:b/>
                <w:bCs/>
              </w:rPr>
            </w:pPr>
            <w:r>
              <w:rPr>
                <w:b/>
                <w:bCs/>
              </w:rPr>
              <w:t>2.373.775</w:t>
            </w:r>
          </w:p>
          <w:p w14:paraId="5D3A38FB" w14:textId="77777777" w:rsidR="00311937" w:rsidRDefault="00311937">
            <w:pPr>
              <w:pStyle w:val="TableContents"/>
              <w:rPr>
                <w:b/>
                <w:bCs/>
              </w:rPr>
            </w:pPr>
          </w:p>
          <w:p w14:paraId="1DA8D325" w14:textId="77777777" w:rsidR="00311937" w:rsidRDefault="003C2263">
            <w:pPr>
              <w:pStyle w:val="TableContents"/>
              <w:rPr>
                <w:b/>
                <w:bCs/>
              </w:rPr>
            </w:pPr>
            <w:r>
              <w:rPr>
                <w:b/>
                <w:bCs/>
              </w:rPr>
              <w:t>13.950</w:t>
            </w:r>
          </w:p>
          <w:p w14:paraId="70B903BC" w14:textId="5E561713" w:rsidR="00311937" w:rsidRDefault="003C2263">
            <w:pPr>
              <w:pStyle w:val="TableContents"/>
              <w:rPr>
                <w:b/>
                <w:bCs/>
              </w:rPr>
            </w:pPr>
            <w:r>
              <w:rPr>
                <w:b/>
                <w:bCs/>
              </w:rPr>
              <w:t>3.950</w:t>
            </w:r>
          </w:p>
          <w:p w14:paraId="04D14693" w14:textId="77777777" w:rsidR="00311937" w:rsidRDefault="00311937">
            <w:pPr>
              <w:pStyle w:val="TableContents"/>
              <w:rPr>
                <w:b/>
                <w:bCs/>
              </w:rPr>
            </w:pPr>
          </w:p>
          <w:p w14:paraId="6B8D31DE" w14:textId="77777777" w:rsidR="00311937" w:rsidRDefault="003C2263">
            <w:pPr>
              <w:pStyle w:val="TableContents"/>
              <w:rPr>
                <w:b/>
                <w:bCs/>
              </w:rPr>
            </w:pPr>
            <w:r>
              <w:rPr>
                <w:b/>
                <w:bCs/>
              </w:rPr>
              <w:t>10.000</w:t>
            </w:r>
          </w:p>
        </w:tc>
        <w:tc>
          <w:tcPr>
            <w:tcW w:w="20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BF01E5" w14:textId="77777777" w:rsidR="00311937" w:rsidRDefault="003C2263">
            <w:pPr>
              <w:pStyle w:val="TableContents"/>
              <w:rPr>
                <w:b/>
                <w:bCs/>
              </w:rPr>
            </w:pPr>
            <w:r>
              <w:rPr>
                <w:b/>
                <w:bCs/>
              </w:rPr>
              <w:t>2.676.975</w:t>
            </w:r>
          </w:p>
          <w:p w14:paraId="14B86591" w14:textId="77777777" w:rsidR="00311937" w:rsidRDefault="00311937">
            <w:pPr>
              <w:pStyle w:val="TableContents"/>
              <w:rPr>
                <w:b/>
                <w:bCs/>
              </w:rPr>
            </w:pPr>
          </w:p>
          <w:p w14:paraId="011D2812" w14:textId="77777777" w:rsidR="00311937" w:rsidRDefault="003C2263">
            <w:pPr>
              <w:pStyle w:val="TableContents"/>
              <w:rPr>
                <w:b/>
                <w:bCs/>
              </w:rPr>
            </w:pPr>
            <w:r>
              <w:rPr>
                <w:b/>
                <w:bCs/>
              </w:rPr>
              <w:t>14.950</w:t>
            </w:r>
          </w:p>
          <w:p w14:paraId="5696FD73" w14:textId="77777777" w:rsidR="00311937" w:rsidRDefault="003C2263">
            <w:pPr>
              <w:pStyle w:val="TableContents"/>
              <w:rPr>
                <w:b/>
                <w:bCs/>
              </w:rPr>
            </w:pPr>
            <w:r>
              <w:rPr>
                <w:b/>
                <w:bCs/>
              </w:rPr>
              <w:t>4.450</w:t>
            </w:r>
          </w:p>
          <w:p w14:paraId="7986067B" w14:textId="77777777" w:rsidR="00311937" w:rsidRDefault="00311937">
            <w:pPr>
              <w:pStyle w:val="TableContents"/>
              <w:rPr>
                <w:b/>
                <w:bCs/>
              </w:rPr>
            </w:pPr>
          </w:p>
          <w:p w14:paraId="25B3A2F5" w14:textId="77777777" w:rsidR="00311937" w:rsidRDefault="003C2263">
            <w:pPr>
              <w:pStyle w:val="TableContents"/>
              <w:rPr>
                <w:b/>
                <w:bCs/>
              </w:rPr>
            </w:pPr>
            <w:r>
              <w:rPr>
                <w:b/>
                <w:bCs/>
              </w:rPr>
              <w:t>10.500</w:t>
            </w:r>
          </w:p>
        </w:tc>
      </w:tr>
      <w:tr w:rsidR="00311937" w14:paraId="47CEC75C" w14:textId="77777777">
        <w:trPr>
          <w:trHeight w:val="75"/>
        </w:trPr>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14:paraId="6B52D33F" w14:textId="77777777" w:rsidR="00311937" w:rsidRDefault="003C2263">
            <w:pPr>
              <w:pStyle w:val="TableContents"/>
            </w:pPr>
            <w:r>
              <w:rPr>
                <w:b/>
                <w:bCs/>
              </w:rPr>
              <w:t>b)</w:t>
            </w:r>
            <w:r>
              <w:t xml:space="preserve"> </w:t>
            </w:r>
            <w:r>
              <w:rPr>
                <w:b/>
                <w:bCs/>
              </w:rPr>
              <w:t>ostali vanjski troškovi</w:t>
            </w:r>
          </w:p>
          <w:p w14:paraId="637F049B" w14:textId="77777777" w:rsidR="00311937" w:rsidRDefault="003C2263">
            <w:pPr>
              <w:pStyle w:val="TableContents"/>
            </w:pPr>
            <w:r>
              <w:t>-sitni inventar</w:t>
            </w:r>
          </w:p>
          <w:p w14:paraId="1AE09DBB" w14:textId="77777777" w:rsidR="00311937" w:rsidRDefault="003C2263">
            <w:pPr>
              <w:pStyle w:val="TableContents"/>
            </w:pPr>
            <w:r>
              <w:t>-uredska oprema</w:t>
            </w:r>
          </w:p>
          <w:p w14:paraId="360FC63B" w14:textId="77777777" w:rsidR="00311937" w:rsidRDefault="003C2263">
            <w:pPr>
              <w:pStyle w:val="TableContents"/>
            </w:pPr>
            <w:r>
              <w:t>-najam poslovnog prostora, sala ( EUP)</w:t>
            </w:r>
          </w:p>
          <w:p w14:paraId="1634A139" w14:textId="77777777" w:rsidR="00311937" w:rsidRDefault="003C2263">
            <w:pPr>
              <w:pStyle w:val="TableContents"/>
            </w:pPr>
            <w:r>
              <w:t>-usluge promidžbe i inform. (EUP)</w:t>
            </w:r>
          </w:p>
          <w:p w14:paraId="7C19CEBC" w14:textId="77777777" w:rsidR="00311937" w:rsidRDefault="003C2263">
            <w:pPr>
              <w:pStyle w:val="TableContents"/>
            </w:pPr>
            <w:r>
              <w:t xml:space="preserve">-mat.i tekuće održavanje  </w:t>
            </w:r>
          </w:p>
          <w:p w14:paraId="051D09FF" w14:textId="77777777" w:rsidR="00311937" w:rsidRDefault="003C2263">
            <w:pPr>
              <w:pStyle w:val="TableContents"/>
            </w:pPr>
            <w:r>
              <w:t>-održavanje vozila</w:t>
            </w:r>
          </w:p>
          <w:p w14:paraId="46152D50" w14:textId="77777777" w:rsidR="00311937" w:rsidRDefault="003C2263">
            <w:pPr>
              <w:pStyle w:val="TableContents"/>
            </w:pPr>
            <w:r>
              <w:t>-telefonski troškovi</w:t>
            </w:r>
          </w:p>
          <w:p w14:paraId="35784050" w14:textId="77777777" w:rsidR="00311937" w:rsidRDefault="003C2263">
            <w:pPr>
              <w:pStyle w:val="TableContents"/>
            </w:pPr>
            <w:r>
              <w:t>-poštarina</w:t>
            </w:r>
          </w:p>
          <w:p w14:paraId="61480644" w14:textId="77777777" w:rsidR="00311937" w:rsidRDefault="003C2263">
            <w:pPr>
              <w:pStyle w:val="TableContents"/>
            </w:pPr>
            <w:r>
              <w:t>-troškovi el. Energije</w:t>
            </w:r>
          </w:p>
          <w:p w14:paraId="23254A4D" w14:textId="77777777" w:rsidR="00311937" w:rsidRDefault="003C2263">
            <w:pPr>
              <w:pStyle w:val="TableContents"/>
            </w:pPr>
            <w:r>
              <w:t>-komunalne usluge i voda</w:t>
            </w:r>
          </w:p>
          <w:p w14:paraId="68A03F84" w14:textId="77777777" w:rsidR="00311937" w:rsidRDefault="003C2263">
            <w:pPr>
              <w:pStyle w:val="TableContents"/>
            </w:pPr>
            <w:r>
              <w:t>-komunalna naknada i nakn.za uređ.voda</w:t>
            </w:r>
          </w:p>
          <w:p w14:paraId="66B19918" w14:textId="77777777" w:rsidR="00311937" w:rsidRDefault="003C2263">
            <w:pPr>
              <w:pStyle w:val="TableContents"/>
            </w:pPr>
            <w:r>
              <w:t>-proizv.usl(teh.preg.,reg.os. voz.i sl.)</w:t>
            </w:r>
          </w:p>
          <w:p w14:paraId="464B2E5F" w14:textId="77777777" w:rsidR="00311937" w:rsidRDefault="003C2263">
            <w:pPr>
              <w:pStyle w:val="TableContents"/>
            </w:pPr>
            <w:r>
              <w:t>-računovodstvene usluge</w:t>
            </w:r>
          </w:p>
          <w:p w14:paraId="4D3EC7A1" w14:textId="77777777" w:rsidR="00311937" w:rsidRDefault="003C2263">
            <w:pPr>
              <w:pStyle w:val="TableContents"/>
            </w:pPr>
            <w:r>
              <w:t>-ostale neproizvodne usl.,snimanja,čuv. imov.i sl.</w:t>
            </w:r>
          </w:p>
          <w:p w14:paraId="7C7D5283" w14:textId="77777777" w:rsidR="00311937" w:rsidRDefault="003C2263">
            <w:pPr>
              <w:pStyle w:val="TableContents"/>
            </w:pPr>
            <w:r>
              <w:t>-neproizvodne usluge (Motovun)</w:t>
            </w:r>
          </w:p>
          <w:p w14:paraId="5E642845" w14:textId="77777777" w:rsidR="00AA6564" w:rsidRDefault="00AA6564">
            <w:pPr>
              <w:pStyle w:val="TableContents"/>
            </w:pPr>
          </w:p>
          <w:p w14:paraId="3E73CCBC" w14:textId="5AC94C52" w:rsidR="00311937" w:rsidRDefault="003C2263">
            <w:pPr>
              <w:pStyle w:val="TableContents"/>
            </w:pPr>
            <w:r>
              <w:t xml:space="preserve">-administ.troš.i intelektualne </w:t>
            </w:r>
            <w:r>
              <w:lastRenderedPageBreak/>
              <w:t>i osobne usluge(EU projekti)</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14:paraId="7B8219BE" w14:textId="6EE29593" w:rsidR="00311937" w:rsidRDefault="003C2263">
            <w:pPr>
              <w:pStyle w:val="TableContents"/>
              <w:rPr>
                <w:b/>
                <w:bCs/>
              </w:rPr>
            </w:pPr>
            <w:r>
              <w:rPr>
                <w:b/>
                <w:bCs/>
              </w:rPr>
              <w:lastRenderedPageBreak/>
              <w:t>213.225</w:t>
            </w:r>
            <w:r w:rsidR="00B96EEF">
              <w:rPr>
                <w:b/>
                <w:bCs/>
              </w:rPr>
              <w:t xml:space="preserve"> </w:t>
            </w:r>
          </w:p>
          <w:p w14:paraId="492278DF" w14:textId="77777777" w:rsidR="00311937" w:rsidRDefault="00311937">
            <w:pPr>
              <w:pStyle w:val="TableContents"/>
              <w:rPr>
                <w:b/>
                <w:bCs/>
              </w:rPr>
            </w:pPr>
          </w:p>
          <w:p w14:paraId="4A83DDC0" w14:textId="77777777" w:rsidR="00311937" w:rsidRDefault="003C2263">
            <w:pPr>
              <w:pStyle w:val="TableContents"/>
              <w:rPr>
                <w:b/>
                <w:bCs/>
              </w:rPr>
            </w:pPr>
            <w:r>
              <w:rPr>
                <w:b/>
                <w:bCs/>
              </w:rPr>
              <w:t xml:space="preserve">        </w:t>
            </w:r>
          </w:p>
          <w:p w14:paraId="3FDEE751" w14:textId="77777777" w:rsidR="00311937" w:rsidRDefault="00311937">
            <w:pPr>
              <w:pStyle w:val="TableContents"/>
              <w:rPr>
                <w:b/>
                <w:bCs/>
              </w:rPr>
            </w:pPr>
          </w:p>
          <w:p w14:paraId="655CDCB9" w14:textId="77777777" w:rsidR="00311937" w:rsidRDefault="00311937">
            <w:pPr>
              <w:pStyle w:val="TableContents"/>
              <w:rPr>
                <w:b/>
                <w:bCs/>
              </w:rPr>
            </w:pPr>
          </w:p>
          <w:p w14:paraId="368C9E4B" w14:textId="77777777" w:rsidR="00311937" w:rsidRDefault="00311937">
            <w:pPr>
              <w:pStyle w:val="TableContents"/>
              <w:rPr>
                <w:b/>
                <w:bCs/>
              </w:rPr>
            </w:pPr>
          </w:p>
          <w:p w14:paraId="4BA16B1A" w14:textId="77777777" w:rsidR="00311937" w:rsidRDefault="00311937">
            <w:pPr>
              <w:pStyle w:val="TableContents"/>
              <w:rPr>
                <w:b/>
                <w:bCs/>
              </w:rPr>
            </w:pPr>
          </w:p>
          <w:p w14:paraId="0A96A5B5" w14:textId="12CA595B" w:rsidR="00311937" w:rsidRPr="00A32BF3" w:rsidRDefault="00311937">
            <w:pPr>
              <w:pStyle w:val="TableContents"/>
              <w:rPr>
                <w:b/>
                <w:bCs/>
                <w:color w:val="FF0000"/>
              </w:rPr>
            </w:pPr>
          </w:p>
          <w:p w14:paraId="505FBB63" w14:textId="77777777" w:rsidR="00311937" w:rsidRDefault="00311937">
            <w:pPr>
              <w:pStyle w:val="TableContents"/>
              <w:rPr>
                <w:b/>
                <w:bCs/>
              </w:rPr>
            </w:pPr>
          </w:p>
          <w:p w14:paraId="03A4AC5F" w14:textId="77777777" w:rsidR="00311937" w:rsidRDefault="003C2263">
            <w:pPr>
              <w:pStyle w:val="TableContents"/>
              <w:rPr>
                <w:b/>
                <w:bCs/>
              </w:rPr>
            </w:pPr>
            <w:r>
              <w:rPr>
                <w:b/>
                <w:bCs/>
              </w:rPr>
              <w:t>500</w:t>
            </w:r>
          </w:p>
          <w:p w14:paraId="5F755F19" w14:textId="77777777" w:rsidR="00311937" w:rsidRDefault="003C2263">
            <w:pPr>
              <w:pStyle w:val="TableContents"/>
              <w:rPr>
                <w:b/>
                <w:bCs/>
              </w:rPr>
            </w:pPr>
            <w:r>
              <w:rPr>
                <w:b/>
                <w:bCs/>
              </w:rPr>
              <w:t>500</w:t>
            </w:r>
          </w:p>
          <w:p w14:paraId="34CE30D4" w14:textId="77777777" w:rsidR="00311937" w:rsidRDefault="003C2263">
            <w:pPr>
              <w:pStyle w:val="TableContents"/>
              <w:rPr>
                <w:b/>
                <w:bCs/>
              </w:rPr>
            </w:pPr>
            <w:r>
              <w:rPr>
                <w:b/>
                <w:bCs/>
              </w:rPr>
              <w:t>500</w:t>
            </w:r>
          </w:p>
          <w:p w14:paraId="6533FA53" w14:textId="77777777" w:rsidR="00311937" w:rsidRDefault="003C2263">
            <w:pPr>
              <w:pStyle w:val="TableContents"/>
              <w:rPr>
                <w:b/>
                <w:bCs/>
              </w:rPr>
            </w:pPr>
            <w:r>
              <w:rPr>
                <w:b/>
                <w:bCs/>
              </w:rPr>
              <w:t>150</w:t>
            </w:r>
          </w:p>
          <w:p w14:paraId="16171CAB" w14:textId="77777777" w:rsidR="00311937" w:rsidRDefault="003C2263">
            <w:pPr>
              <w:pStyle w:val="TableContents"/>
              <w:rPr>
                <w:b/>
                <w:bCs/>
              </w:rPr>
            </w:pPr>
            <w:r>
              <w:rPr>
                <w:b/>
                <w:bCs/>
              </w:rPr>
              <w:t>450</w:t>
            </w:r>
          </w:p>
          <w:p w14:paraId="0FB38FC9" w14:textId="77777777" w:rsidR="00311937" w:rsidRDefault="00311937">
            <w:pPr>
              <w:pStyle w:val="TableContents"/>
              <w:rPr>
                <w:b/>
                <w:bCs/>
              </w:rPr>
            </w:pPr>
          </w:p>
          <w:p w14:paraId="769FC651" w14:textId="071A8F1A" w:rsidR="00311937" w:rsidRPr="00A32BF3" w:rsidRDefault="00311937">
            <w:pPr>
              <w:pStyle w:val="TableContents"/>
              <w:rPr>
                <w:b/>
                <w:bCs/>
                <w:color w:val="FF0000"/>
              </w:rPr>
            </w:pPr>
          </w:p>
          <w:p w14:paraId="6A880962" w14:textId="77777777" w:rsidR="00311937" w:rsidRDefault="00311937">
            <w:pPr>
              <w:pStyle w:val="TableContents"/>
              <w:rPr>
                <w:b/>
                <w:bCs/>
              </w:rPr>
            </w:pPr>
          </w:p>
          <w:p w14:paraId="1A0CA360" w14:textId="77777777" w:rsidR="00AA6564" w:rsidRDefault="00AA6564">
            <w:pPr>
              <w:pStyle w:val="TableContents"/>
              <w:rPr>
                <w:b/>
                <w:bCs/>
              </w:rPr>
            </w:pPr>
          </w:p>
          <w:p w14:paraId="598EA12E" w14:textId="27FDD046" w:rsidR="00311937" w:rsidRDefault="003C2263">
            <w:pPr>
              <w:pStyle w:val="TableContents"/>
              <w:rPr>
                <w:b/>
                <w:bCs/>
              </w:rPr>
            </w:pPr>
            <w:r>
              <w:rPr>
                <w:b/>
                <w:bCs/>
              </w:rPr>
              <w:t>28.750</w:t>
            </w:r>
          </w:p>
          <w:p w14:paraId="4F2BE013" w14:textId="77777777" w:rsidR="004E344B" w:rsidRDefault="004E344B">
            <w:pPr>
              <w:pStyle w:val="TableContents"/>
              <w:rPr>
                <w:b/>
                <w:bCs/>
              </w:rPr>
            </w:pPr>
          </w:p>
          <w:p w14:paraId="1F523FC1" w14:textId="77777777" w:rsidR="00311937" w:rsidRDefault="003C2263">
            <w:pPr>
              <w:pStyle w:val="TableContents"/>
              <w:rPr>
                <w:b/>
                <w:bCs/>
              </w:rPr>
            </w:pPr>
            <w:r>
              <w:rPr>
                <w:b/>
                <w:bCs/>
              </w:rPr>
              <w:t>182.375</w:t>
            </w:r>
          </w:p>
          <w:p w14:paraId="31649AB8" w14:textId="77777777" w:rsidR="00311937" w:rsidRDefault="00311937">
            <w:pPr>
              <w:pStyle w:val="TableContents"/>
              <w:rPr>
                <w:b/>
                <w:bCs/>
              </w:rPr>
            </w:pPr>
          </w:p>
          <w:p w14:paraId="7B9042E2" w14:textId="77777777" w:rsidR="00311937" w:rsidRDefault="00311937">
            <w:pPr>
              <w:pStyle w:val="TableContents"/>
              <w:rPr>
                <w:b/>
                <w:bCs/>
              </w:rPr>
            </w:pPr>
          </w:p>
          <w:p w14:paraId="6862C139" w14:textId="77777777" w:rsidR="00311937" w:rsidRDefault="00311937">
            <w:pPr>
              <w:pStyle w:val="TableContents"/>
              <w:rPr>
                <w:b/>
                <w:bCs/>
              </w:rPr>
            </w:pPr>
          </w:p>
          <w:p w14:paraId="2F9BA1EB" w14:textId="77777777" w:rsidR="00311937" w:rsidRDefault="00311937">
            <w:pPr>
              <w:pStyle w:val="TableContents"/>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009F71AB" w14:textId="77777777" w:rsidR="00311937" w:rsidRDefault="003C2263">
            <w:pPr>
              <w:pStyle w:val="TableContents"/>
              <w:rPr>
                <w:b/>
                <w:bCs/>
              </w:rPr>
            </w:pPr>
            <w:r>
              <w:rPr>
                <w:b/>
                <w:bCs/>
              </w:rPr>
              <w:lastRenderedPageBreak/>
              <w:t>768.550</w:t>
            </w:r>
          </w:p>
          <w:p w14:paraId="7FD8508F" w14:textId="77777777" w:rsidR="00311937" w:rsidRDefault="003C2263">
            <w:pPr>
              <w:pStyle w:val="TableContents"/>
              <w:rPr>
                <w:b/>
                <w:bCs/>
              </w:rPr>
            </w:pPr>
            <w:r>
              <w:rPr>
                <w:b/>
                <w:bCs/>
              </w:rPr>
              <w:t>2.000</w:t>
            </w:r>
          </w:p>
          <w:p w14:paraId="28977AEF" w14:textId="77777777" w:rsidR="00311937" w:rsidRDefault="00311937">
            <w:pPr>
              <w:pStyle w:val="TableContents"/>
              <w:rPr>
                <w:b/>
                <w:bCs/>
              </w:rPr>
            </w:pPr>
          </w:p>
          <w:p w14:paraId="5653E0F0" w14:textId="16FE01C0" w:rsidR="00311937" w:rsidRDefault="003C2263">
            <w:pPr>
              <w:pStyle w:val="TableContents"/>
              <w:rPr>
                <w:b/>
                <w:bCs/>
              </w:rPr>
            </w:pPr>
            <w:r>
              <w:rPr>
                <w:b/>
                <w:bCs/>
              </w:rPr>
              <w:t>62.550</w:t>
            </w:r>
            <w:r w:rsidR="00D55488">
              <w:rPr>
                <w:b/>
                <w:bCs/>
              </w:rPr>
              <w:t xml:space="preserve"> </w:t>
            </w:r>
          </w:p>
          <w:p w14:paraId="6AE94747" w14:textId="77777777" w:rsidR="00311937" w:rsidRDefault="00311937">
            <w:pPr>
              <w:pStyle w:val="TableContents"/>
              <w:rPr>
                <w:b/>
                <w:bCs/>
              </w:rPr>
            </w:pPr>
          </w:p>
          <w:p w14:paraId="126064CF" w14:textId="77777777" w:rsidR="00311937" w:rsidRDefault="00311937">
            <w:pPr>
              <w:pStyle w:val="TableContents"/>
              <w:rPr>
                <w:b/>
                <w:bCs/>
              </w:rPr>
            </w:pPr>
          </w:p>
          <w:p w14:paraId="17080FFA" w14:textId="77777777" w:rsidR="00311937" w:rsidRDefault="00311937">
            <w:pPr>
              <w:pStyle w:val="TableContents"/>
              <w:rPr>
                <w:b/>
                <w:bCs/>
              </w:rPr>
            </w:pPr>
          </w:p>
          <w:p w14:paraId="2B5994D5" w14:textId="7D010E09" w:rsidR="00311937" w:rsidRPr="00E80D41" w:rsidRDefault="00311937">
            <w:pPr>
              <w:pStyle w:val="TableContents"/>
              <w:rPr>
                <w:b/>
                <w:bCs/>
                <w:color w:val="70AD47" w:themeColor="accent6"/>
              </w:rPr>
            </w:pPr>
          </w:p>
          <w:p w14:paraId="26AF6CE6" w14:textId="77777777" w:rsidR="00311937" w:rsidRDefault="003C2263">
            <w:pPr>
              <w:pStyle w:val="TableContents"/>
              <w:rPr>
                <w:b/>
                <w:bCs/>
              </w:rPr>
            </w:pPr>
            <w:r>
              <w:rPr>
                <w:b/>
                <w:bCs/>
              </w:rPr>
              <w:t>2.000</w:t>
            </w:r>
          </w:p>
          <w:p w14:paraId="32F16BE7" w14:textId="27ADC805" w:rsidR="00311937" w:rsidRDefault="003C2263">
            <w:pPr>
              <w:pStyle w:val="TableContents"/>
              <w:rPr>
                <w:b/>
                <w:bCs/>
              </w:rPr>
            </w:pPr>
            <w:r>
              <w:rPr>
                <w:b/>
                <w:bCs/>
              </w:rPr>
              <w:t>14.500</w:t>
            </w:r>
            <w:r w:rsidR="00D55488">
              <w:rPr>
                <w:b/>
                <w:bCs/>
              </w:rPr>
              <w:t xml:space="preserve"> </w:t>
            </w:r>
          </w:p>
          <w:p w14:paraId="72C5472B" w14:textId="7358579D" w:rsidR="00311937" w:rsidRDefault="003C2263">
            <w:pPr>
              <w:pStyle w:val="TableContents"/>
              <w:rPr>
                <w:b/>
                <w:bCs/>
              </w:rPr>
            </w:pPr>
            <w:r>
              <w:rPr>
                <w:b/>
                <w:bCs/>
              </w:rPr>
              <w:t>1.300</w:t>
            </w:r>
            <w:r w:rsidR="00D55488">
              <w:rPr>
                <w:b/>
                <w:bCs/>
              </w:rPr>
              <w:t xml:space="preserve"> </w:t>
            </w:r>
          </w:p>
          <w:p w14:paraId="15483D0D" w14:textId="559DD137" w:rsidR="00311937" w:rsidRDefault="003C2263">
            <w:pPr>
              <w:pStyle w:val="TableContents"/>
              <w:rPr>
                <w:b/>
                <w:bCs/>
              </w:rPr>
            </w:pPr>
            <w:r>
              <w:rPr>
                <w:b/>
                <w:bCs/>
              </w:rPr>
              <w:t>7.000</w:t>
            </w:r>
            <w:r w:rsidR="003510C8">
              <w:rPr>
                <w:b/>
                <w:bCs/>
              </w:rPr>
              <w:t xml:space="preserve"> </w:t>
            </w:r>
          </w:p>
          <w:p w14:paraId="0F5ADC17" w14:textId="4156B6BC" w:rsidR="00311937" w:rsidRDefault="003C2263">
            <w:pPr>
              <w:pStyle w:val="TableContents"/>
              <w:rPr>
                <w:b/>
                <w:bCs/>
              </w:rPr>
            </w:pPr>
            <w:r>
              <w:rPr>
                <w:b/>
                <w:bCs/>
              </w:rPr>
              <w:t>2.150</w:t>
            </w:r>
            <w:r w:rsidR="00D55488">
              <w:rPr>
                <w:b/>
                <w:bCs/>
              </w:rPr>
              <w:t xml:space="preserve"> </w:t>
            </w:r>
          </w:p>
          <w:p w14:paraId="2BBA12F5" w14:textId="6FF5E73C" w:rsidR="00311937" w:rsidRDefault="003C2263">
            <w:pPr>
              <w:pStyle w:val="TableContents"/>
              <w:rPr>
                <w:b/>
                <w:bCs/>
              </w:rPr>
            </w:pPr>
            <w:r>
              <w:rPr>
                <w:b/>
                <w:bCs/>
              </w:rPr>
              <w:t>1.650</w:t>
            </w:r>
            <w:r w:rsidR="003510C8">
              <w:rPr>
                <w:b/>
                <w:bCs/>
              </w:rPr>
              <w:t xml:space="preserve"> </w:t>
            </w:r>
          </w:p>
          <w:p w14:paraId="1C76081D" w14:textId="77777777" w:rsidR="00311937" w:rsidRDefault="00311937">
            <w:pPr>
              <w:pStyle w:val="TableContents"/>
              <w:rPr>
                <w:b/>
                <w:bCs/>
              </w:rPr>
            </w:pPr>
          </w:p>
          <w:p w14:paraId="77220278" w14:textId="77777777" w:rsidR="00311937" w:rsidRDefault="003C2263">
            <w:pPr>
              <w:pStyle w:val="TableContents"/>
              <w:rPr>
                <w:b/>
                <w:bCs/>
              </w:rPr>
            </w:pPr>
            <w:r>
              <w:rPr>
                <w:b/>
                <w:bCs/>
              </w:rPr>
              <w:t>1.550</w:t>
            </w:r>
          </w:p>
          <w:p w14:paraId="6EC5AFCD" w14:textId="77777777" w:rsidR="00311937" w:rsidRDefault="00311937">
            <w:pPr>
              <w:pStyle w:val="TableContents"/>
              <w:rPr>
                <w:b/>
                <w:bCs/>
              </w:rPr>
            </w:pPr>
          </w:p>
          <w:p w14:paraId="30F62F34" w14:textId="0376033C" w:rsidR="00311937" w:rsidRDefault="003C2263">
            <w:pPr>
              <w:pStyle w:val="TableContents"/>
              <w:rPr>
                <w:b/>
                <w:bCs/>
              </w:rPr>
            </w:pPr>
            <w:r>
              <w:rPr>
                <w:b/>
                <w:bCs/>
              </w:rPr>
              <w:t>67.500</w:t>
            </w:r>
            <w:r w:rsidR="003510C8">
              <w:rPr>
                <w:b/>
                <w:bCs/>
              </w:rPr>
              <w:t xml:space="preserve"> </w:t>
            </w:r>
          </w:p>
          <w:p w14:paraId="6F7DAEBC" w14:textId="6E8D5843" w:rsidR="00311937" w:rsidRDefault="003C2263">
            <w:pPr>
              <w:pStyle w:val="TableContents"/>
              <w:rPr>
                <w:b/>
                <w:bCs/>
              </w:rPr>
            </w:pPr>
            <w:r>
              <w:rPr>
                <w:b/>
                <w:bCs/>
              </w:rPr>
              <w:t>17.000</w:t>
            </w:r>
            <w:r w:rsidR="00E80D41">
              <w:rPr>
                <w:b/>
                <w:bCs/>
              </w:rPr>
              <w:t xml:space="preserve"> </w:t>
            </w:r>
          </w:p>
          <w:p w14:paraId="43A56220" w14:textId="77777777" w:rsidR="00311937" w:rsidRDefault="00311937">
            <w:pPr>
              <w:pStyle w:val="TableContents"/>
              <w:rPr>
                <w:b/>
                <w:bCs/>
              </w:rPr>
            </w:pPr>
          </w:p>
          <w:p w14:paraId="3AB23AF8" w14:textId="77777777" w:rsidR="00311937" w:rsidRDefault="00311937">
            <w:pPr>
              <w:pStyle w:val="TableContents"/>
              <w:rPr>
                <w:b/>
                <w:bCs/>
              </w:rPr>
            </w:pPr>
          </w:p>
          <w:p w14:paraId="628D11A9" w14:textId="77777777" w:rsidR="00311937" w:rsidRDefault="00311937">
            <w:pPr>
              <w:pStyle w:val="TableContents"/>
              <w:rPr>
                <w:b/>
                <w:bCs/>
              </w:rPr>
            </w:pPr>
          </w:p>
          <w:p w14:paraId="4E2BBCCF" w14:textId="77777777" w:rsidR="00AA6564" w:rsidRDefault="00AA6564">
            <w:pPr>
              <w:pStyle w:val="TableContents"/>
              <w:rPr>
                <w:b/>
                <w:bCs/>
              </w:rPr>
            </w:pPr>
          </w:p>
          <w:p w14:paraId="58EB6ADE" w14:textId="74081D9A" w:rsidR="00311937" w:rsidRDefault="003C2263">
            <w:pPr>
              <w:pStyle w:val="TableContents"/>
              <w:rPr>
                <w:b/>
                <w:bCs/>
              </w:rPr>
            </w:pPr>
            <w:r>
              <w:rPr>
                <w:b/>
                <w:bCs/>
              </w:rPr>
              <w:t>589.350</w:t>
            </w:r>
            <w:r w:rsidR="00BC4D26">
              <w:rPr>
                <w:b/>
                <w:bCs/>
              </w:rPr>
              <w:t xml:space="preserve"> </w:t>
            </w:r>
          </w:p>
          <w:p w14:paraId="5A6FA4C2" w14:textId="77777777" w:rsidR="00311937" w:rsidRDefault="00311937">
            <w:pPr>
              <w:pStyle w:val="TableContents"/>
              <w:rPr>
                <w:b/>
                <w:bCs/>
              </w:rPr>
            </w:pPr>
          </w:p>
          <w:p w14:paraId="081085B7" w14:textId="77777777" w:rsidR="00311937" w:rsidRDefault="00311937">
            <w:pPr>
              <w:pStyle w:val="TableContents"/>
              <w:rPr>
                <w:b/>
                <w:bCs/>
              </w:rPr>
            </w:pPr>
          </w:p>
          <w:p w14:paraId="7CE66BC8" w14:textId="77777777" w:rsidR="00311937" w:rsidRDefault="00311937">
            <w:pPr>
              <w:pStyle w:val="TableContents"/>
              <w:rPr>
                <w:b/>
                <w:bCs/>
              </w:rPr>
            </w:pPr>
          </w:p>
          <w:p w14:paraId="2EC1E19A" w14:textId="77777777" w:rsidR="00311937" w:rsidRDefault="00311937">
            <w:pPr>
              <w:pStyle w:val="TableContents"/>
              <w:rPr>
                <w:b/>
                <w:bCs/>
              </w:rPr>
            </w:pPr>
          </w:p>
        </w:tc>
        <w:tc>
          <w:tcPr>
            <w:tcW w:w="20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F893DB" w14:textId="77777777" w:rsidR="00311937" w:rsidRDefault="003C2263">
            <w:pPr>
              <w:pStyle w:val="TableContents"/>
              <w:rPr>
                <w:b/>
                <w:bCs/>
              </w:rPr>
            </w:pPr>
            <w:r>
              <w:rPr>
                <w:b/>
                <w:bCs/>
              </w:rPr>
              <w:lastRenderedPageBreak/>
              <w:t>981.775</w:t>
            </w:r>
          </w:p>
          <w:p w14:paraId="014D1A45" w14:textId="77777777" w:rsidR="00311937" w:rsidRDefault="003C2263">
            <w:pPr>
              <w:pStyle w:val="TableContents"/>
              <w:rPr>
                <w:b/>
                <w:bCs/>
              </w:rPr>
            </w:pPr>
            <w:r>
              <w:rPr>
                <w:b/>
                <w:bCs/>
              </w:rPr>
              <w:t>2.000</w:t>
            </w:r>
          </w:p>
          <w:p w14:paraId="05F57727" w14:textId="77777777" w:rsidR="00311937" w:rsidRDefault="00311937">
            <w:pPr>
              <w:pStyle w:val="TableContents"/>
              <w:rPr>
                <w:b/>
                <w:bCs/>
              </w:rPr>
            </w:pPr>
          </w:p>
          <w:p w14:paraId="34E8BB7B" w14:textId="77777777" w:rsidR="00311937" w:rsidRDefault="003C2263">
            <w:pPr>
              <w:pStyle w:val="TableContents"/>
              <w:rPr>
                <w:b/>
                <w:bCs/>
              </w:rPr>
            </w:pPr>
            <w:r>
              <w:rPr>
                <w:b/>
                <w:bCs/>
              </w:rPr>
              <w:t>62.550</w:t>
            </w:r>
          </w:p>
          <w:p w14:paraId="5F6D3861" w14:textId="77777777" w:rsidR="00311937" w:rsidRDefault="00311937">
            <w:pPr>
              <w:pStyle w:val="TableContents"/>
              <w:rPr>
                <w:b/>
                <w:bCs/>
              </w:rPr>
            </w:pPr>
          </w:p>
          <w:p w14:paraId="7C18C1DB" w14:textId="77777777" w:rsidR="00311937" w:rsidRDefault="00311937">
            <w:pPr>
              <w:pStyle w:val="TableContents"/>
              <w:rPr>
                <w:b/>
                <w:bCs/>
              </w:rPr>
            </w:pPr>
          </w:p>
          <w:p w14:paraId="5CD1E432" w14:textId="77777777" w:rsidR="00311937" w:rsidRDefault="00311937">
            <w:pPr>
              <w:pStyle w:val="TableContents"/>
              <w:rPr>
                <w:b/>
                <w:bCs/>
              </w:rPr>
            </w:pPr>
          </w:p>
          <w:p w14:paraId="7B2C32E5" w14:textId="77777777" w:rsidR="00311937" w:rsidRDefault="00311937">
            <w:pPr>
              <w:pStyle w:val="TableContents"/>
              <w:rPr>
                <w:b/>
                <w:bCs/>
              </w:rPr>
            </w:pPr>
          </w:p>
          <w:p w14:paraId="69A96823" w14:textId="77777777" w:rsidR="00311937" w:rsidRDefault="003C2263">
            <w:pPr>
              <w:pStyle w:val="TableContents"/>
              <w:rPr>
                <w:b/>
                <w:bCs/>
              </w:rPr>
            </w:pPr>
            <w:r>
              <w:rPr>
                <w:b/>
                <w:bCs/>
              </w:rPr>
              <w:t>2.000</w:t>
            </w:r>
          </w:p>
          <w:p w14:paraId="230CE4C0" w14:textId="77777777" w:rsidR="00311937" w:rsidRDefault="003C2263">
            <w:pPr>
              <w:pStyle w:val="TableContents"/>
              <w:rPr>
                <w:b/>
                <w:bCs/>
              </w:rPr>
            </w:pPr>
            <w:r>
              <w:rPr>
                <w:b/>
                <w:bCs/>
              </w:rPr>
              <w:t>15.000</w:t>
            </w:r>
          </w:p>
          <w:p w14:paraId="40B07204" w14:textId="77777777" w:rsidR="00311937" w:rsidRDefault="003C2263">
            <w:pPr>
              <w:pStyle w:val="TableContents"/>
              <w:rPr>
                <w:b/>
                <w:bCs/>
              </w:rPr>
            </w:pPr>
            <w:r>
              <w:rPr>
                <w:b/>
                <w:bCs/>
              </w:rPr>
              <w:t>1.800</w:t>
            </w:r>
          </w:p>
          <w:p w14:paraId="4C12DC3E" w14:textId="77777777" w:rsidR="00311937" w:rsidRDefault="003C2263">
            <w:pPr>
              <w:pStyle w:val="TableContents"/>
              <w:rPr>
                <w:b/>
                <w:bCs/>
              </w:rPr>
            </w:pPr>
            <w:r>
              <w:rPr>
                <w:b/>
                <w:bCs/>
              </w:rPr>
              <w:t>7.500</w:t>
            </w:r>
          </w:p>
          <w:p w14:paraId="0A9819BB" w14:textId="77777777" w:rsidR="00311937" w:rsidRDefault="003C2263">
            <w:pPr>
              <w:pStyle w:val="TableContents"/>
              <w:rPr>
                <w:b/>
                <w:bCs/>
              </w:rPr>
            </w:pPr>
            <w:r>
              <w:rPr>
                <w:b/>
                <w:bCs/>
              </w:rPr>
              <w:t>2.300</w:t>
            </w:r>
          </w:p>
          <w:p w14:paraId="081FE14C" w14:textId="77777777" w:rsidR="00311937" w:rsidRDefault="003C2263">
            <w:pPr>
              <w:pStyle w:val="TableContents"/>
              <w:rPr>
                <w:b/>
                <w:bCs/>
              </w:rPr>
            </w:pPr>
            <w:r>
              <w:rPr>
                <w:b/>
                <w:bCs/>
              </w:rPr>
              <w:t>2.100</w:t>
            </w:r>
          </w:p>
          <w:p w14:paraId="4A12C33A" w14:textId="77777777" w:rsidR="00311937" w:rsidRDefault="00311937">
            <w:pPr>
              <w:pStyle w:val="TableContents"/>
              <w:rPr>
                <w:b/>
                <w:bCs/>
              </w:rPr>
            </w:pPr>
          </w:p>
          <w:p w14:paraId="4CD85EC3" w14:textId="77777777" w:rsidR="00311937" w:rsidRDefault="003C2263">
            <w:pPr>
              <w:pStyle w:val="TableContents"/>
              <w:rPr>
                <w:b/>
                <w:bCs/>
              </w:rPr>
            </w:pPr>
            <w:r>
              <w:rPr>
                <w:b/>
                <w:bCs/>
              </w:rPr>
              <w:t>1.550</w:t>
            </w:r>
          </w:p>
          <w:p w14:paraId="23B83EC0" w14:textId="77777777" w:rsidR="00311937" w:rsidRDefault="00311937">
            <w:pPr>
              <w:pStyle w:val="TableContents"/>
              <w:rPr>
                <w:b/>
                <w:bCs/>
              </w:rPr>
            </w:pPr>
          </w:p>
          <w:p w14:paraId="6E4C1268" w14:textId="77777777" w:rsidR="00311937" w:rsidRDefault="003C2263">
            <w:pPr>
              <w:pStyle w:val="TableContents"/>
              <w:rPr>
                <w:b/>
                <w:bCs/>
              </w:rPr>
            </w:pPr>
            <w:r>
              <w:rPr>
                <w:b/>
                <w:bCs/>
              </w:rPr>
              <w:t>67.500</w:t>
            </w:r>
          </w:p>
          <w:p w14:paraId="776B04A2" w14:textId="77777777" w:rsidR="00311937" w:rsidRDefault="003C2263">
            <w:pPr>
              <w:pStyle w:val="TableContents"/>
              <w:rPr>
                <w:b/>
                <w:bCs/>
              </w:rPr>
            </w:pPr>
            <w:r>
              <w:rPr>
                <w:b/>
                <w:bCs/>
              </w:rPr>
              <w:t>45.750</w:t>
            </w:r>
          </w:p>
          <w:p w14:paraId="5F9DA792" w14:textId="77777777" w:rsidR="00311937" w:rsidRDefault="00311937">
            <w:pPr>
              <w:pStyle w:val="TableContents"/>
              <w:rPr>
                <w:b/>
                <w:bCs/>
              </w:rPr>
            </w:pPr>
          </w:p>
          <w:p w14:paraId="3E327B75" w14:textId="77777777" w:rsidR="00311937" w:rsidRDefault="003C2263">
            <w:pPr>
              <w:pStyle w:val="TableContents"/>
              <w:rPr>
                <w:b/>
                <w:bCs/>
              </w:rPr>
            </w:pPr>
            <w:r>
              <w:rPr>
                <w:b/>
                <w:bCs/>
              </w:rPr>
              <w:t>182.375</w:t>
            </w:r>
          </w:p>
          <w:p w14:paraId="31B7152A" w14:textId="77777777" w:rsidR="00311937" w:rsidRDefault="00311937">
            <w:pPr>
              <w:pStyle w:val="TableContents"/>
              <w:rPr>
                <w:b/>
                <w:bCs/>
              </w:rPr>
            </w:pPr>
          </w:p>
          <w:p w14:paraId="6C32252E" w14:textId="77777777" w:rsidR="00AA6564" w:rsidRDefault="00AA6564">
            <w:pPr>
              <w:pStyle w:val="TableContents"/>
              <w:rPr>
                <w:b/>
                <w:bCs/>
              </w:rPr>
            </w:pPr>
          </w:p>
          <w:p w14:paraId="57B3C80B" w14:textId="7EF7317B" w:rsidR="00311937" w:rsidRDefault="003C2263">
            <w:pPr>
              <w:pStyle w:val="TableContents"/>
              <w:rPr>
                <w:b/>
                <w:bCs/>
              </w:rPr>
            </w:pPr>
            <w:r>
              <w:rPr>
                <w:b/>
                <w:bCs/>
              </w:rPr>
              <w:t>589.350</w:t>
            </w:r>
          </w:p>
          <w:p w14:paraId="270E3B65" w14:textId="77777777" w:rsidR="00311937" w:rsidRDefault="00311937">
            <w:pPr>
              <w:pStyle w:val="TableContents"/>
              <w:rPr>
                <w:b/>
                <w:bCs/>
              </w:rPr>
            </w:pPr>
          </w:p>
          <w:p w14:paraId="68094CA8" w14:textId="77777777" w:rsidR="00311937" w:rsidRDefault="00311937">
            <w:pPr>
              <w:pStyle w:val="TableContents"/>
              <w:rPr>
                <w:b/>
                <w:bCs/>
              </w:rPr>
            </w:pPr>
          </w:p>
        </w:tc>
      </w:tr>
      <w:tr w:rsidR="00311937" w14:paraId="457B0AF5" w14:textId="77777777">
        <w:trPr>
          <w:cantSplit/>
        </w:trPr>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14:paraId="62C2F7B3" w14:textId="77777777" w:rsidR="00311937" w:rsidRDefault="003C2263">
            <w:pPr>
              <w:pStyle w:val="TableContents"/>
            </w:pPr>
            <w:r>
              <w:rPr>
                <w:b/>
                <w:bCs/>
              </w:rPr>
              <w:lastRenderedPageBreak/>
              <w:t>c)</w:t>
            </w:r>
            <w:r>
              <w:t xml:space="preserve"> </w:t>
            </w:r>
            <w:r>
              <w:rPr>
                <w:b/>
                <w:bCs/>
              </w:rPr>
              <w:t>troškovi osoblja -brutto plaće</w:t>
            </w:r>
          </w:p>
          <w:p w14:paraId="6CA581B7" w14:textId="77777777" w:rsidR="00311937" w:rsidRDefault="003C2263">
            <w:pPr>
              <w:pStyle w:val="TableContents"/>
            </w:pPr>
            <w:r>
              <w:t>-Redovno poslovanje</w:t>
            </w:r>
          </w:p>
          <w:p w14:paraId="246E34B4" w14:textId="77777777" w:rsidR="00311937" w:rsidRDefault="003C2263">
            <w:pPr>
              <w:pStyle w:val="TableContents"/>
            </w:pPr>
            <w:r>
              <w:t>-EU projekti</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14:paraId="32E8B489" w14:textId="7747BE36" w:rsidR="00311937" w:rsidRDefault="003C2263">
            <w:pPr>
              <w:pStyle w:val="TableContents"/>
              <w:rPr>
                <w:b/>
                <w:bCs/>
              </w:rPr>
            </w:pPr>
            <w:r>
              <w:rPr>
                <w:b/>
                <w:bCs/>
              </w:rPr>
              <w:t>12.000</w:t>
            </w:r>
          </w:p>
          <w:p w14:paraId="2462A8C3" w14:textId="77777777" w:rsidR="00311937" w:rsidRDefault="00311937">
            <w:pPr>
              <w:pStyle w:val="TableContents"/>
              <w:rPr>
                <w:b/>
                <w:bCs/>
              </w:rPr>
            </w:pPr>
          </w:p>
          <w:p w14:paraId="77F11522" w14:textId="3E79A8DF" w:rsidR="00311937" w:rsidRDefault="003C2263">
            <w:pPr>
              <w:pStyle w:val="TableContents"/>
              <w:rPr>
                <w:b/>
                <w:bCs/>
              </w:rPr>
            </w:pPr>
            <w:r>
              <w:rPr>
                <w:b/>
                <w:bCs/>
              </w:rPr>
              <w:t>12.000</w:t>
            </w:r>
            <w:r w:rsidR="002D217F">
              <w:rPr>
                <w:b/>
                <w:bCs/>
              </w:rPr>
              <w:t xml:space="preserve"> </w:t>
            </w:r>
          </w:p>
          <w:p w14:paraId="76C4A073" w14:textId="77777777" w:rsidR="00311937" w:rsidRDefault="00311937">
            <w:pPr>
              <w:pStyle w:val="TableContents"/>
            </w:pPr>
          </w:p>
          <w:p w14:paraId="704C5994" w14:textId="77777777" w:rsidR="00311937" w:rsidRDefault="003C2263">
            <w:pPr>
              <w:pStyle w:val="TableContents"/>
            </w:pPr>
            <w:r>
              <w:t xml:space="preserve">              </w:t>
            </w: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3C158212" w14:textId="77777777" w:rsidR="00311937" w:rsidRDefault="003C2263">
            <w:pPr>
              <w:pStyle w:val="TableContents"/>
              <w:rPr>
                <w:b/>
                <w:bCs/>
              </w:rPr>
            </w:pPr>
            <w:r>
              <w:rPr>
                <w:b/>
                <w:bCs/>
              </w:rPr>
              <w:t>1.252.000</w:t>
            </w:r>
          </w:p>
          <w:p w14:paraId="202BB765" w14:textId="77777777" w:rsidR="00311937" w:rsidRDefault="00311937">
            <w:pPr>
              <w:pStyle w:val="TableContents"/>
              <w:rPr>
                <w:b/>
                <w:bCs/>
              </w:rPr>
            </w:pPr>
          </w:p>
          <w:p w14:paraId="482762C6" w14:textId="77777777" w:rsidR="00311937" w:rsidRDefault="00311937">
            <w:pPr>
              <w:pStyle w:val="TableContents"/>
              <w:rPr>
                <w:b/>
                <w:bCs/>
              </w:rPr>
            </w:pPr>
          </w:p>
          <w:p w14:paraId="2A0531E7" w14:textId="77777777" w:rsidR="00311937" w:rsidRDefault="003C2263">
            <w:pPr>
              <w:pStyle w:val="TableContents"/>
              <w:rPr>
                <w:b/>
                <w:bCs/>
              </w:rPr>
            </w:pPr>
            <w:r>
              <w:rPr>
                <w:b/>
                <w:bCs/>
              </w:rPr>
              <w:t>1.252.000</w:t>
            </w:r>
          </w:p>
          <w:p w14:paraId="24583AF2" w14:textId="77777777" w:rsidR="00311937" w:rsidRDefault="00311937">
            <w:pPr>
              <w:pStyle w:val="TableContents"/>
              <w:rPr>
                <w:b/>
                <w:bCs/>
              </w:rPr>
            </w:pPr>
          </w:p>
        </w:tc>
        <w:tc>
          <w:tcPr>
            <w:tcW w:w="20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DA0917" w14:textId="77777777" w:rsidR="00311937" w:rsidRDefault="003C2263">
            <w:pPr>
              <w:pStyle w:val="TableContents"/>
              <w:rPr>
                <w:b/>
                <w:bCs/>
              </w:rPr>
            </w:pPr>
            <w:r>
              <w:rPr>
                <w:b/>
                <w:bCs/>
              </w:rPr>
              <w:t>1.264.000</w:t>
            </w:r>
          </w:p>
          <w:p w14:paraId="329B9385" w14:textId="77777777" w:rsidR="00311937" w:rsidRDefault="00311937">
            <w:pPr>
              <w:pStyle w:val="TableContents"/>
              <w:rPr>
                <w:b/>
                <w:bCs/>
              </w:rPr>
            </w:pPr>
          </w:p>
          <w:p w14:paraId="157718D4" w14:textId="77777777" w:rsidR="00311937" w:rsidRDefault="003C2263">
            <w:pPr>
              <w:pStyle w:val="TableContents"/>
              <w:rPr>
                <w:b/>
                <w:bCs/>
              </w:rPr>
            </w:pPr>
            <w:r>
              <w:rPr>
                <w:b/>
                <w:bCs/>
              </w:rPr>
              <w:t>12.000</w:t>
            </w:r>
          </w:p>
          <w:p w14:paraId="150049BF" w14:textId="77777777" w:rsidR="00311937" w:rsidRDefault="003C2263">
            <w:pPr>
              <w:pStyle w:val="TableContents"/>
              <w:rPr>
                <w:b/>
                <w:bCs/>
              </w:rPr>
            </w:pPr>
            <w:r>
              <w:rPr>
                <w:b/>
                <w:bCs/>
              </w:rPr>
              <w:t>1.252.000</w:t>
            </w:r>
          </w:p>
          <w:p w14:paraId="4719D7DD" w14:textId="77777777" w:rsidR="00311937" w:rsidRDefault="00311937">
            <w:pPr>
              <w:pStyle w:val="TableContents"/>
              <w:rPr>
                <w:b/>
                <w:bCs/>
              </w:rPr>
            </w:pPr>
          </w:p>
        </w:tc>
      </w:tr>
      <w:tr w:rsidR="00311937" w14:paraId="25904311" w14:textId="77777777">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14:paraId="1C603265" w14:textId="77777777" w:rsidR="00311937" w:rsidRDefault="003C2263">
            <w:pPr>
              <w:pStyle w:val="TableContents"/>
            </w:pPr>
            <w:r>
              <w:rPr>
                <w:b/>
                <w:bCs/>
              </w:rPr>
              <w:t>d)</w:t>
            </w:r>
            <w:r>
              <w:t xml:space="preserve"> </w:t>
            </w:r>
            <w:r>
              <w:rPr>
                <w:b/>
                <w:bCs/>
              </w:rPr>
              <w:t>ostali troškovi</w:t>
            </w:r>
          </w:p>
          <w:p w14:paraId="317A1AEB" w14:textId="77777777" w:rsidR="00311937" w:rsidRDefault="003C2263">
            <w:pPr>
              <w:pStyle w:val="TableContents"/>
            </w:pPr>
            <w:r>
              <w:t>-nak. zaposlenicima-službena put.,prijevoz na posao,neop.nak. I sl</w:t>
            </w:r>
          </w:p>
          <w:p w14:paraId="34677520" w14:textId="77777777" w:rsidR="00311937" w:rsidRDefault="003C2263">
            <w:pPr>
              <w:pStyle w:val="TableContents"/>
            </w:pPr>
            <w:r>
              <w:t>-premije osiguranja</w:t>
            </w:r>
          </w:p>
          <w:p w14:paraId="0005189B" w14:textId="77777777" w:rsidR="00311937" w:rsidRDefault="003C2263">
            <w:pPr>
              <w:pStyle w:val="TableContents"/>
            </w:pPr>
            <w:r>
              <w:t>-reprezentacija+catering</w:t>
            </w:r>
          </w:p>
          <w:p w14:paraId="5E8DACD3" w14:textId="77777777" w:rsidR="00311937" w:rsidRDefault="003C2263">
            <w:pPr>
              <w:pStyle w:val="TableContents"/>
            </w:pPr>
            <w:r>
              <w:t>-dopr. koji ne ovise o rez.posl.  (članarina HGK i sl.)</w:t>
            </w:r>
          </w:p>
          <w:p w14:paraId="7C2C1588" w14:textId="77777777" w:rsidR="00311937" w:rsidRDefault="003C2263">
            <w:pPr>
              <w:pStyle w:val="TableContents"/>
            </w:pPr>
            <w:r>
              <w:t>-stručna literatura,seminari</w:t>
            </w:r>
          </w:p>
          <w:p w14:paraId="42430C46" w14:textId="77777777" w:rsidR="00311937" w:rsidRDefault="003C2263">
            <w:pPr>
              <w:pStyle w:val="TableContents"/>
            </w:pPr>
            <w:r>
              <w:t>-pristojbe</w:t>
            </w:r>
          </w:p>
          <w:p w14:paraId="213ABBAA" w14:textId="77777777" w:rsidR="00311937" w:rsidRDefault="003C2263">
            <w:pPr>
              <w:pStyle w:val="TableContents"/>
            </w:pPr>
            <w:r>
              <w:t>-naknada za platni promet,bank.nak.</w:t>
            </w:r>
          </w:p>
          <w:p w14:paraId="653E2140" w14:textId="77777777" w:rsidR="00311937" w:rsidRDefault="003C2263">
            <w:pPr>
              <w:pStyle w:val="TableContents"/>
            </w:pPr>
            <w:r>
              <w:t>-ostali rashodi (neg.teč.r.+kamate na kredite JointSECAP, MARLESS, COASTENERGY)</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14:paraId="1B8E92CE" w14:textId="6715746E" w:rsidR="00311937" w:rsidRDefault="003C2263">
            <w:pPr>
              <w:pStyle w:val="TableContents"/>
              <w:rPr>
                <w:b/>
                <w:bCs/>
              </w:rPr>
            </w:pPr>
            <w:r>
              <w:rPr>
                <w:b/>
                <w:bCs/>
              </w:rPr>
              <w:t>34.975</w:t>
            </w:r>
            <w:r w:rsidR="002A58B2">
              <w:rPr>
                <w:b/>
                <w:bCs/>
              </w:rPr>
              <w:t xml:space="preserve"> </w:t>
            </w:r>
          </w:p>
          <w:p w14:paraId="47A2BAA8" w14:textId="674E4857" w:rsidR="00311937" w:rsidRDefault="003C2263">
            <w:pPr>
              <w:pStyle w:val="TableContents"/>
              <w:rPr>
                <w:b/>
                <w:bCs/>
              </w:rPr>
            </w:pPr>
            <w:r>
              <w:rPr>
                <w:b/>
                <w:bCs/>
              </w:rPr>
              <w:t>9.475</w:t>
            </w:r>
            <w:r w:rsidR="002D217F">
              <w:rPr>
                <w:b/>
                <w:bCs/>
              </w:rPr>
              <w:t xml:space="preserve"> </w:t>
            </w:r>
          </w:p>
          <w:p w14:paraId="48DFA65B" w14:textId="77777777" w:rsidR="00311937" w:rsidRDefault="00311937">
            <w:pPr>
              <w:pStyle w:val="TableContents"/>
              <w:rPr>
                <w:b/>
                <w:bCs/>
              </w:rPr>
            </w:pPr>
          </w:p>
          <w:p w14:paraId="46FDDD68" w14:textId="77777777" w:rsidR="00311937" w:rsidRDefault="003C2263">
            <w:pPr>
              <w:pStyle w:val="TableContents"/>
              <w:rPr>
                <w:b/>
                <w:bCs/>
              </w:rPr>
            </w:pPr>
            <w:r>
              <w:rPr>
                <w:b/>
                <w:bCs/>
              </w:rPr>
              <w:t xml:space="preserve">                 </w:t>
            </w:r>
          </w:p>
          <w:p w14:paraId="1423AB49" w14:textId="47F1E899" w:rsidR="00311937" w:rsidRDefault="00311937">
            <w:pPr>
              <w:pStyle w:val="TableContents"/>
              <w:rPr>
                <w:b/>
                <w:bCs/>
              </w:rPr>
            </w:pPr>
          </w:p>
          <w:p w14:paraId="376ED474" w14:textId="659EC8D8" w:rsidR="00311937" w:rsidRDefault="003C2263">
            <w:pPr>
              <w:pStyle w:val="TableContents"/>
              <w:rPr>
                <w:b/>
                <w:bCs/>
              </w:rPr>
            </w:pPr>
            <w:r>
              <w:rPr>
                <w:b/>
                <w:bCs/>
              </w:rPr>
              <w:t>0</w:t>
            </w:r>
            <w:r w:rsidR="00AF5C8A">
              <w:rPr>
                <w:b/>
                <w:bCs/>
              </w:rPr>
              <w:t xml:space="preserve"> </w:t>
            </w:r>
          </w:p>
          <w:p w14:paraId="31D9442D" w14:textId="0178A089" w:rsidR="00311937" w:rsidRDefault="003C2263">
            <w:pPr>
              <w:pStyle w:val="TableContents"/>
              <w:rPr>
                <w:b/>
                <w:bCs/>
              </w:rPr>
            </w:pPr>
            <w:r>
              <w:rPr>
                <w:b/>
                <w:bCs/>
              </w:rPr>
              <w:t>1.500</w:t>
            </w:r>
          </w:p>
          <w:p w14:paraId="77194A9C" w14:textId="77777777" w:rsidR="00311937" w:rsidRDefault="00311937">
            <w:pPr>
              <w:pStyle w:val="TableContents"/>
              <w:rPr>
                <w:b/>
                <w:bCs/>
              </w:rPr>
            </w:pPr>
          </w:p>
          <w:p w14:paraId="205041D4" w14:textId="77777777" w:rsidR="00311937" w:rsidRDefault="00311937">
            <w:pPr>
              <w:pStyle w:val="TableContents"/>
              <w:rPr>
                <w:b/>
                <w:bCs/>
              </w:rPr>
            </w:pPr>
          </w:p>
          <w:p w14:paraId="41FA1EEF" w14:textId="77777777" w:rsidR="00311937" w:rsidRDefault="003C2263">
            <w:pPr>
              <w:pStyle w:val="TableContents"/>
              <w:rPr>
                <w:b/>
                <w:bCs/>
              </w:rPr>
            </w:pPr>
            <w:r>
              <w:rPr>
                <w:b/>
                <w:bCs/>
              </w:rPr>
              <w:t>0</w:t>
            </w:r>
          </w:p>
          <w:p w14:paraId="33818427" w14:textId="77777777" w:rsidR="00311937" w:rsidRDefault="003C2263">
            <w:pPr>
              <w:pStyle w:val="TableContents"/>
              <w:rPr>
                <w:b/>
                <w:bCs/>
              </w:rPr>
            </w:pPr>
            <w:r>
              <w:rPr>
                <w:b/>
                <w:bCs/>
              </w:rPr>
              <w:t>500</w:t>
            </w:r>
          </w:p>
          <w:p w14:paraId="0AB79108" w14:textId="6A88162F" w:rsidR="00311937" w:rsidRDefault="003C2263">
            <w:pPr>
              <w:pStyle w:val="TableContents"/>
              <w:rPr>
                <w:b/>
                <w:bCs/>
              </w:rPr>
            </w:pPr>
            <w:r>
              <w:rPr>
                <w:b/>
                <w:bCs/>
              </w:rPr>
              <w:t>8.500</w:t>
            </w:r>
          </w:p>
          <w:p w14:paraId="3F43909C" w14:textId="77777777" w:rsidR="00311937" w:rsidRDefault="003C2263">
            <w:pPr>
              <w:pStyle w:val="TableContents"/>
            </w:pPr>
            <w:r>
              <w:t xml:space="preserve">                  </w:t>
            </w:r>
          </w:p>
          <w:p w14:paraId="1E0F8D10" w14:textId="46EBD392" w:rsidR="00311937" w:rsidRDefault="003C2263">
            <w:pPr>
              <w:pStyle w:val="TableContents"/>
              <w:rPr>
                <w:b/>
                <w:bCs/>
              </w:rPr>
            </w:pPr>
            <w:r>
              <w:rPr>
                <w:b/>
                <w:bCs/>
              </w:rPr>
              <w:t>15.000</w:t>
            </w:r>
            <w:r w:rsidR="002D217F">
              <w:rPr>
                <w:b/>
                <w:bCs/>
              </w:rPr>
              <w:t xml:space="preserve"> </w:t>
            </w:r>
          </w:p>
          <w:p w14:paraId="55A350DD" w14:textId="77777777" w:rsidR="00311937" w:rsidRDefault="00311937">
            <w:pPr>
              <w:pStyle w:val="TableContents"/>
            </w:pPr>
          </w:p>
          <w:p w14:paraId="75621502" w14:textId="77777777" w:rsidR="00311937" w:rsidRDefault="00311937">
            <w:pPr>
              <w:pStyle w:val="TableContents"/>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4ECCEF0D" w14:textId="77777777" w:rsidR="00311937" w:rsidRDefault="003C2263">
            <w:pPr>
              <w:pStyle w:val="TableContents"/>
              <w:rPr>
                <w:b/>
                <w:bCs/>
              </w:rPr>
            </w:pPr>
            <w:r>
              <w:rPr>
                <w:b/>
                <w:bCs/>
              </w:rPr>
              <w:t>339.275</w:t>
            </w:r>
          </w:p>
          <w:p w14:paraId="26FBB358" w14:textId="77777777" w:rsidR="00311937" w:rsidRDefault="003C2263">
            <w:pPr>
              <w:pStyle w:val="TableContents"/>
              <w:rPr>
                <w:b/>
                <w:bCs/>
              </w:rPr>
            </w:pPr>
            <w:r>
              <w:rPr>
                <w:b/>
                <w:bCs/>
              </w:rPr>
              <w:t>257.775</w:t>
            </w:r>
          </w:p>
          <w:p w14:paraId="211C06D8" w14:textId="77777777" w:rsidR="00311937" w:rsidRDefault="00311937">
            <w:pPr>
              <w:pStyle w:val="TableContents"/>
              <w:rPr>
                <w:b/>
                <w:bCs/>
              </w:rPr>
            </w:pPr>
          </w:p>
          <w:p w14:paraId="4B3F5812" w14:textId="77777777" w:rsidR="00311937" w:rsidRDefault="00311937">
            <w:pPr>
              <w:pStyle w:val="TableContents"/>
              <w:rPr>
                <w:b/>
                <w:bCs/>
              </w:rPr>
            </w:pPr>
          </w:p>
          <w:p w14:paraId="58228EF1" w14:textId="77777777" w:rsidR="00311937" w:rsidRDefault="003C2263">
            <w:pPr>
              <w:pStyle w:val="TableContents"/>
              <w:rPr>
                <w:b/>
                <w:bCs/>
              </w:rPr>
            </w:pPr>
            <w:r>
              <w:rPr>
                <w:b/>
                <w:bCs/>
              </w:rPr>
              <w:t>6.000</w:t>
            </w:r>
          </w:p>
          <w:p w14:paraId="40D29CAD" w14:textId="77777777" w:rsidR="00311937" w:rsidRDefault="003C2263">
            <w:pPr>
              <w:pStyle w:val="TableContents"/>
              <w:rPr>
                <w:b/>
                <w:bCs/>
              </w:rPr>
            </w:pPr>
            <w:r>
              <w:rPr>
                <w:b/>
                <w:bCs/>
              </w:rPr>
              <w:t>75.500</w:t>
            </w:r>
          </w:p>
          <w:p w14:paraId="6AD16C9D" w14:textId="77777777" w:rsidR="00311937" w:rsidRDefault="00311937">
            <w:pPr>
              <w:pStyle w:val="TableContents"/>
              <w:rPr>
                <w:b/>
                <w:bCs/>
              </w:rPr>
            </w:pPr>
          </w:p>
        </w:tc>
        <w:tc>
          <w:tcPr>
            <w:tcW w:w="20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40C615" w14:textId="77777777" w:rsidR="00311937" w:rsidRDefault="003C2263">
            <w:pPr>
              <w:pStyle w:val="TableContents"/>
              <w:rPr>
                <w:b/>
                <w:bCs/>
              </w:rPr>
            </w:pPr>
            <w:r>
              <w:rPr>
                <w:b/>
                <w:bCs/>
              </w:rPr>
              <w:t>374.250</w:t>
            </w:r>
          </w:p>
          <w:p w14:paraId="72FC07FD" w14:textId="77777777" w:rsidR="00311937" w:rsidRDefault="003C2263">
            <w:pPr>
              <w:pStyle w:val="TableContents"/>
              <w:rPr>
                <w:b/>
                <w:bCs/>
              </w:rPr>
            </w:pPr>
            <w:r>
              <w:rPr>
                <w:b/>
                <w:bCs/>
              </w:rPr>
              <w:t>267.250</w:t>
            </w:r>
          </w:p>
          <w:p w14:paraId="49CB788F" w14:textId="77777777" w:rsidR="00311937" w:rsidRDefault="00311937">
            <w:pPr>
              <w:pStyle w:val="TableContents"/>
              <w:rPr>
                <w:b/>
                <w:bCs/>
              </w:rPr>
            </w:pPr>
          </w:p>
          <w:p w14:paraId="1DDCE556" w14:textId="77777777" w:rsidR="00311937" w:rsidRDefault="00311937">
            <w:pPr>
              <w:pStyle w:val="TableContents"/>
              <w:rPr>
                <w:b/>
                <w:bCs/>
              </w:rPr>
            </w:pPr>
          </w:p>
          <w:p w14:paraId="3E56D07C" w14:textId="77777777" w:rsidR="00311937" w:rsidRDefault="003C2263">
            <w:pPr>
              <w:pStyle w:val="TableContents"/>
              <w:rPr>
                <w:b/>
                <w:bCs/>
              </w:rPr>
            </w:pPr>
            <w:r>
              <w:rPr>
                <w:b/>
                <w:bCs/>
              </w:rPr>
              <w:t>6.000</w:t>
            </w:r>
          </w:p>
          <w:p w14:paraId="23890063" w14:textId="77777777" w:rsidR="00311937" w:rsidRDefault="003C2263">
            <w:pPr>
              <w:pStyle w:val="TableContents"/>
              <w:rPr>
                <w:b/>
                <w:bCs/>
              </w:rPr>
            </w:pPr>
            <w:r>
              <w:rPr>
                <w:b/>
                <w:bCs/>
              </w:rPr>
              <w:t>75.500</w:t>
            </w:r>
          </w:p>
          <w:p w14:paraId="59E0998D" w14:textId="77777777" w:rsidR="00311937" w:rsidRDefault="003C2263">
            <w:pPr>
              <w:pStyle w:val="TableContents"/>
              <w:rPr>
                <w:b/>
                <w:bCs/>
              </w:rPr>
            </w:pPr>
            <w:r>
              <w:rPr>
                <w:b/>
                <w:bCs/>
              </w:rPr>
              <w:t>1.500</w:t>
            </w:r>
          </w:p>
          <w:p w14:paraId="186F89EC" w14:textId="77777777" w:rsidR="00311937" w:rsidRDefault="00311937">
            <w:pPr>
              <w:pStyle w:val="TableContents"/>
              <w:rPr>
                <w:b/>
                <w:bCs/>
              </w:rPr>
            </w:pPr>
          </w:p>
          <w:p w14:paraId="0A0AD218" w14:textId="77777777" w:rsidR="00311937" w:rsidRDefault="00311937">
            <w:pPr>
              <w:pStyle w:val="TableContents"/>
              <w:rPr>
                <w:b/>
                <w:bCs/>
              </w:rPr>
            </w:pPr>
          </w:p>
          <w:p w14:paraId="5C2A8E67" w14:textId="77777777" w:rsidR="00311937" w:rsidRDefault="003C2263">
            <w:pPr>
              <w:pStyle w:val="TableContents"/>
              <w:rPr>
                <w:b/>
                <w:bCs/>
              </w:rPr>
            </w:pPr>
            <w:r>
              <w:rPr>
                <w:b/>
                <w:bCs/>
              </w:rPr>
              <w:t>0</w:t>
            </w:r>
          </w:p>
          <w:p w14:paraId="67A5DB49" w14:textId="77777777" w:rsidR="00311937" w:rsidRDefault="003C2263">
            <w:pPr>
              <w:pStyle w:val="TableContents"/>
              <w:rPr>
                <w:b/>
                <w:bCs/>
              </w:rPr>
            </w:pPr>
            <w:r>
              <w:rPr>
                <w:b/>
                <w:bCs/>
              </w:rPr>
              <w:t>500</w:t>
            </w:r>
          </w:p>
          <w:p w14:paraId="60DA5F80" w14:textId="77777777" w:rsidR="00311937" w:rsidRDefault="003C2263">
            <w:pPr>
              <w:pStyle w:val="TableContents"/>
              <w:rPr>
                <w:b/>
                <w:bCs/>
              </w:rPr>
            </w:pPr>
            <w:r>
              <w:rPr>
                <w:b/>
                <w:bCs/>
              </w:rPr>
              <w:t>8.500</w:t>
            </w:r>
          </w:p>
          <w:p w14:paraId="348EA57D" w14:textId="77777777" w:rsidR="00311937" w:rsidRDefault="00311937">
            <w:pPr>
              <w:pStyle w:val="TableContents"/>
              <w:rPr>
                <w:b/>
                <w:bCs/>
              </w:rPr>
            </w:pPr>
          </w:p>
          <w:p w14:paraId="5F6F8D24" w14:textId="77777777" w:rsidR="00311937" w:rsidRDefault="003C2263">
            <w:pPr>
              <w:pStyle w:val="TableContents"/>
              <w:rPr>
                <w:b/>
                <w:bCs/>
              </w:rPr>
            </w:pPr>
            <w:r>
              <w:rPr>
                <w:b/>
                <w:bCs/>
              </w:rPr>
              <w:t>15.000</w:t>
            </w:r>
          </w:p>
          <w:p w14:paraId="55868B06" w14:textId="77777777" w:rsidR="00311937" w:rsidRDefault="00311937">
            <w:pPr>
              <w:pStyle w:val="TableContents"/>
              <w:rPr>
                <w:b/>
                <w:bCs/>
              </w:rPr>
            </w:pPr>
          </w:p>
        </w:tc>
      </w:tr>
      <w:tr w:rsidR="00311937" w14:paraId="6A46F785" w14:textId="77777777">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14:paraId="2A69AD82" w14:textId="77777777" w:rsidR="00311937" w:rsidRDefault="003C2263">
            <w:pPr>
              <w:pStyle w:val="TableContents"/>
              <w:rPr>
                <w:b/>
                <w:bCs/>
              </w:rPr>
            </w:pPr>
            <w:r>
              <w:rPr>
                <w:b/>
                <w:bCs/>
              </w:rPr>
              <w:t>e) amortizacija</w:t>
            </w:r>
          </w:p>
          <w:p w14:paraId="33320EE6" w14:textId="77777777" w:rsidR="00311937" w:rsidRDefault="00311937">
            <w:pPr>
              <w:pStyle w:val="TableContents"/>
              <w:rPr>
                <w:b/>
                <w:bCs/>
              </w:rPr>
            </w:pP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14:paraId="227249A6" w14:textId="1A7F30DF" w:rsidR="00311937" w:rsidRDefault="003C2263">
            <w:pPr>
              <w:pStyle w:val="TableContents"/>
              <w:rPr>
                <w:b/>
                <w:bCs/>
              </w:rPr>
            </w:pPr>
            <w:r>
              <w:rPr>
                <w:b/>
                <w:bCs/>
              </w:rPr>
              <w:t>42.000</w:t>
            </w:r>
            <w:r w:rsidR="002D217F">
              <w:rPr>
                <w:b/>
                <w:bCs/>
              </w:rPr>
              <w:t xml:space="preserve"> </w:t>
            </w:r>
          </w:p>
          <w:p w14:paraId="158032B5" w14:textId="47517019" w:rsidR="00311937" w:rsidRDefault="00311937" w:rsidP="00AC30F7">
            <w:pPr>
              <w:pStyle w:val="TableContents"/>
              <w:rPr>
                <w:b/>
                <w:bCs/>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72261594" w14:textId="77777777" w:rsidR="00311937" w:rsidRDefault="00311937">
            <w:pPr>
              <w:pStyle w:val="TableContents"/>
              <w:rPr>
                <w:b/>
                <w:bCs/>
              </w:rPr>
            </w:pPr>
          </w:p>
        </w:tc>
        <w:tc>
          <w:tcPr>
            <w:tcW w:w="20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16C813" w14:textId="77777777" w:rsidR="00311937" w:rsidRDefault="003C2263">
            <w:pPr>
              <w:pStyle w:val="TableContents"/>
              <w:rPr>
                <w:b/>
                <w:bCs/>
              </w:rPr>
            </w:pPr>
            <w:r>
              <w:rPr>
                <w:b/>
                <w:bCs/>
              </w:rPr>
              <w:t>42.000</w:t>
            </w:r>
          </w:p>
          <w:p w14:paraId="17065DBE" w14:textId="77777777" w:rsidR="00311937" w:rsidRDefault="00311937">
            <w:pPr>
              <w:pStyle w:val="TableContents"/>
              <w:rPr>
                <w:b/>
                <w:bCs/>
              </w:rPr>
            </w:pPr>
          </w:p>
        </w:tc>
      </w:tr>
      <w:tr w:rsidR="00311937" w14:paraId="25785E09" w14:textId="77777777">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14:paraId="3F929DAE" w14:textId="77777777" w:rsidR="00311937" w:rsidRDefault="003C2263">
            <w:pPr>
              <w:pStyle w:val="TableContents"/>
              <w:rPr>
                <w:b/>
                <w:bCs/>
              </w:rPr>
            </w:pPr>
            <w:r>
              <w:rPr>
                <w:b/>
                <w:bCs/>
              </w:rPr>
              <w:t>C.SUFIN.EUP CAPONLITTER</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14:paraId="76B7F96B" w14:textId="00996F70" w:rsidR="00311937" w:rsidRDefault="003C2263">
            <w:pPr>
              <w:pStyle w:val="TableContents"/>
              <w:rPr>
                <w:b/>
                <w:bCs/>
              </w:rPr>
            </w:pPr>
            <w:r>
              <w:rPr>
                <w:b/>
                <w:bCs/>
              </w:rPr>
              <w:t>46.800</w:t>
            </w:r>
            <w:r w:rsidR="002D217F">
              <w:rPr>
                <w:b/>
                <w:bCs/>
              </w:rPr>
              <w:t xml:space="preserve"> </w:t>
            </w:r>
          </w:p>
          <w:p w14:paraId="0AE87C94" w14:textId="77777777" w:rsidR="00311937" w:rsidRDefault="00311937">
            <w:pPr>
              <w:pStyle w:val="TableContents"/>
              <w:rPr>
                <w:b/>
                <w:bCs/>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13FFF33D" w14:textId="77777777" w:rsidR="00311937" w:rsidRDefault="00311937">
            <w:pPr>
              <w:pStyle w:val="TableContents"/>
              <w:rPr>
                <w:b/>
                <w:bCs/>
              </w:rPr>
            </w:pPr>
          </w:p>
        </w:tc>
        <w:tc>
          <w:tcPr>
            <w:tcW w:w="20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232AD9" w14:textId="77777777" w:rsidR="00311937" w:rsidRDefault="003C2263">
            <w:pPr>
              <w:pStyle w:val="TableContents"/>
              <w:rPr>
                <w:b/>
                <w:bCs/>
              </w:rPr>
            </w:pPr>
            <w:r>
              <w:rPr>
                <w:b/>
                <w:bCs/>
              </w:rPr>
              <w:t>46.800</w:t>
            </w:r>
          </w:p>
          <w:p w14:paraId="292FAFCF" w14:textId="77777777" w:rsidR="00311937" w:rsidRDefault="00311937">
            <w:pPr>
              <w:pStyle w:val="TableContents"/>
              <w:rPr>
                <w:b/>
                <w:bCs/>
              </w:rPr>
            </w:pPr>
          </w:p>
        </w:tc>
      </w:tr>
      <w:tr w:rsidR="00311937" w14:paraId="78124BDF" w14:textId="77777777">
        <w:tc>
          <w:tcPr>
            <w:tcW w:w="2895" w:type="dxa"/>
            <w:tcBorders>
              <w:left w:val="single" w:sz="2" w:space="0" w:color="000000"/>
              <w:bottom w:val="single" w:sz="2" w:space="0" w:color="000000"/>
            </w:tcBorders>
            <w:shd w:val="clear" w:color="auto" w:fill="auto"/>
            <w:tcMar>
              <w:top w:w="55" w:type="dxa"/>
              <w:left w:w="55" w:type="dxa"/>
              <w:bottom w:w="55" w:type="dxa"/>
              <w:right w:w="55" w:type="dxa"/>
            </w:tcMar>
          </w:tcPr>
          <w:p w14:paraId="15BC3DD6" w14:textId="77777777" w:rsidR="00311937" w:rsidRDefault="003C2263">
            <w:pPr>
              <w:pStyle w:val="TableContents"/>
              <w:rPr>
                <w:b/>
                <w:bCs/>
              </w:rPr>
            </w:pPr>
            <w:r>
              <w:rPr>
                <w:b/>
                <w:bCs/>
              </w:rPr>
              <w:t>D(A-B-C).RAZ. PRIH. I RASH.</w:t>
            </w:r>
          </w:p>
        </w:tc>
        <w:tc>
          <w:tcPr>
            <w:tcW w:w="2370" w:type="dxa"/>
            <w:tcBorders>
              <w:left w:val="single" w:sz="2" w:space="0" w:color="000000"/>
              <w:bottom w:val="single" w:sz="2" w:space="0" w:color="000000"/>
            </w:tcBorders>
            <w:shd w:val="clear" w:color="auto" w:fill="auto"/>
            <w:tcMar>
              <w:top w:w="55" w:type="dxa"/>
              <w:left w:w="55" w:type="dxa"/>
              <w:bottom w:w="55" w:type="dxa"/>
              <w:right w:w="55" w:type="dxa"/>
            </w:tcMar>
          </w:tcPr>
          <w:p w14:paraId="719D07EA" w14:textId="77777777" w:rsidR="00311937" w:rsidRDefault="003C2263">
            <w:pPr>
              <w:pStyle w:val="TableContents"/>
              <w:rPr>
                <w:b/>
                <w:bCs/>
              </w:rPr>
            </w:pPr>
            <w:r>
              <w:rPr>
                <w:b/>
                <w:bCs/>
              </w:rPr>
              <w:t>0</w:t>
            </w:r>
          </w:p>
          <w:p w14:paraId="30459FA8" w14:textId="77777777" w:rsidR="00311937" w:rsidRDefault="00311937">
            <w:pPr>
              <w:pStyle w:val="TableContents"/>
              <w:rPr>
                <w:b/>
                <w:bCs/>
              </w:rPr>
            </w:pPr>
          </w:p>
        </w:tc>
        <w:tc>
          <w:tcPr>
            <w:tcW w:w="2265" w:type="dxa"/>
            <w:tcBorders>
              <w:left w:val="single" w:sz="2" w:space="0" w:color="000000"/>
              <w:bottom w:val="single" w:sz="2" w:space="0" w:color="000000"/>
            </w:tcBorders>
            <w:shd w:val="clear" w:color="auto" w:fill="auto"/>
            <w:tcMar>
              <w:top w:w="55" w:type="dxa"/>
              <w:left w:w="55" w:type="dxa"/>
              <w:bottom w:w="55" w:type="dxa"/>
              <w:right w:w="55" w:type="dxa"/>
            </w:tcMar>
          </w:tcPr>
          <w:p w14:paraId="7A0ACF69" w14:textId="77777777" w:rsidR="00311937" w:rsidRDefault="003C2263">
            <w:pPr>
              <w:pStyle w:val="TableContents"/>
              <w:rPr>
                <w:b/>
                <w:bCs/>
              </w:rPr>
            </w:pPr>
            <w:r>
              <w:rPr>
                <w:b/>
                <w:bCs/>
              </w:rPr>
              <w:t>0</w:t>
            </w:r>
          </w:p>
        </w:tc>
        <w:tc>
          <w:tcPr>
            <w:tcW w:w="20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C3F81E" w14:textId="77777777" w:rsidR="00311937" w:rsidRDefault="003C2263">
            <w:pPr>
              <w:pStyle w:val="TableContents"/>
              <w:rPr>
                <w:b/>
                <w:bCs/>
              </w:rPr>
            </w:pPr>
            <w:r>
              <w:rPr>
                <w:b/>
                <w:bCs/>
              </w:rPr>
              <w:t>0</w:t>
            </w:r>
          </w:p>
        </w:tc>
      </w:tr>
    </w:tbl>
    <w:p w14:paraId="70F593F5" w14:textId="77777777" w:rsidR="00311937" w:rsidRDefault="003C2263">
      <w:pPr>
        <w:pStyle w:val="Standard"/>
      </w:pPr>
      <w:r>
        <w:t xml:space="preserve">           </w:t>
      </w:r>
    </w:p>
    <w:p w14:paraId="60502E1A" w14:textId="77777777" w:rsidR="00311937" w:rsidRPr="00F35290" w:rsidRDefault="003C2263">
      <w:pPr>
        <w:pStyle w:val="Standard"/>
        <w:rPr>
          <w:sz w:val="20"/>
          <w:szCs w:val="20"/>
        </w:rPr>
      </w:pPr>
      <w:r w:rsidRPr="00F35290">
        <w:rPr>
          <w:sz w:val="20"/>
          <w:szCs w:val="20"/>
        </w:rPr>
        <w:t>Plan poslovanja za 2022.godinu  bazira se uglavnom na procjeni fiksnih troškova društva na bazi ostvarenja istih  za 2021.godinu uz minimalno povećanja nekih grupa troškova, te na  razrađenoj  dinamici realizacije već aktivnih EU projekata iz 2021.godine,a to  su COASTENERGY, CAPONLITTER,CITYMINDED I MARLESS.</w:t>
      </w:r>
    </w:p>
    <w:p w14:paraId="5D0AC6EC" w14:textId="4164E94B" w:rsidR="00311937" w:rsidRPr="00F35290" w:rsidRDefault="003C2263">
      <w:pPr>
        <w:pStyle w:val="Standard"/>
        <w:rPr>
          <w:sz w:val="20"/>
          <w:szCs w:val="20"/>
        </w:rPr>
      </w:pPr>
      <w:r w:rsidRPr="00F35290">
        <w:rPr>
          <w:sz w:val="20"/>
          <w:szCs w:val="20"/>
        </w:rPr>
        <w:t xml:space="preserve">Masa brutto plaća temelji se na ukupnom broju zaposlenih radnika (7 radnika ) </w:t>
      </w:r>
    </w:p>
    <w:p w14:paraId="017E41FA" w14:textId="34D69109" w:rsidR="00311937" w:rsidRPr="00F35290" w:rsidRDefault="003C2263">
      <w:pPr>
        <w:pStyle w:val="Standard"/>
        <w:rPr>
          <w:sz w:val="20"/>
          <w:szCs w:val="20"/>
        </w:rPr>
      </w:pPr>
      <w:r w:rsidRPr="00F35290">
        <w:rPr>
          <w:sz w:val="20"/>
          <w:szCs w:val="20"/>
        </w:rPr>
        <w:t>Razrađenom dinamikom realizacije EU projekata predviđeno</w:t>
      </w:r>
      <w:r w:rsidR="00670D16" w:rsidRPr="00F35290">
        <w:rPr>
          <w:sz w:val="20"/>
          <w:szCs w:val="20"/>
        </w:rPr>
        <w:t xml:space="preserve"> je rasterećenje troškova plaća</w:t>
      </w:r>
      <w:r w:rsidRPr="00F35290">
        <w:rPr>
          <w:sz w:val="20"/>
          <w:szCs w:val="20"/>
        </w:rPr>
        <w:t xml:space="preserve">,te </w:t>
      </w:r>
      <w:r w:rsidRPr="00F35290">
        <w:rPr>
          <w:color w:val="800000"/>
          <w:sz w:val="20"/>
          <w:szCs w:val="20"/>
        </w:rPr>
        <w:t>s</w:t>
      </w:r>
      <w:r w:rsidRPr="00F35290">
        <w:rPr>
          <w:color w:val="000000"/>
          <w:sz w:val="20"/>
          <w:szCs w:val="20"/>
        </w:rPr>
        <w:t>vih ostalih troškova poslovanja, koji impliciraju po grupama u administrativne troškove EU projekata.</w:t>
      </w:r>
    </w:p>
    <w:p w14:paraId="229DC477" w14:textId="77777777" w:rsidR="00BF38F6" w:rsidRPr="00F35290" w:rsidRDefault="003C2263">
      <w:pPr>
        <w:pStyle w:val="Standard"/>
        <w:rPr>
          <w:sz w:val="20"/>
          <w:szCs w:val="20"/>
        </w:rPr>
      </w:pPr>
      <w:r w:rsidRPr="00F35290">
        <w:rPr>
          <w:sz w:val="20"/>
          <w:szCs w:val="20"/>
        </w:rPr>
        <w:t xml:space="preserve">Sukladno navedenom, na Redovnom poslovanju u iskazanim ukupnim rashodima iskazani su  planirani već naprijed spomenuti rasterećeni troškovi poslovanja (toč.a.i toč.b.),te planirani </w:t>
      </w:r>
    </w:p>
    <w:p w14:paraId="6EE88BE9" w14:textId="6D24F53B" w:rsidR="00311937" w:rsidRPr="00F35290" w:rsidRDefault="00BF38F6">
      <w:pPr>
        <w:pStyle w:val="Standard"/>
        <w:rPr>
          <w:sz w:val="20"/>
          <w:szCs w:val="20"/>
        </w:rPr>
      </w:pPr>
      <w:r w:rsidRPr="00F35290">
        <w:rPr>
          <w:sz w:val="20"/>
          <w:szCs w:val="20"/>
        </w:rPr>
        <w:t>t</w:t>
      </w:r>
      <w:r w:rsidR="003C2263" w:rsidRPr="00F35290">
        <w:rPr>
          <w:sz w:val="20"/>
          <w:szCs w:val="20"/>
        </w:rPr>
        <w:t>roškovi</w:t>
      </w:r>
      <w:r w:rsidRPr="00F35290">
        <w:rPr>
          <w:sz w:val="20"/>
          <w:szCs w:val="20"/>
        </w:rPr>
        <w:t xml:space="preserve"> </w:t>
      </w:r>
      <w:r w:rsidR="003C2263" w:rsidRPr="00F35290">
        <w:rPr>
          <w:sz w:val="20"/>
          <w:szCs w:val="20"/>
        </w:rPr>
        <w:t>brutto plaće (toč.c),koji iznose 5% brutto plaće, koju ostvaruje direktor društva.</w:t>
      </w:r>
    </w:p>
    <w:p w14:paraId="37D081F6" w14:textId="77777777" w:rsidR="00923A17" w:rsidRDefault="003C2263">
      <w:pPr>
        <w:pStyle w:val="Standard"/>
        <w:rPr>
          <w:sz w:val="20"/>
          <w:szCs w:val="20"/>
        </w:rPr>
      </w:pPr>
      <w:r w:rsidRPr="00F35290">
        <w:rPr>
          <w:sz w:val="20"/>
          <w:szCs w:val="20"/>
        </w:rPr>
        <w:t xml:space="preserve">Pored navedenog planirano je i sufinanciranje EU projekta CAPONLITTER (toč.C) prema </w:t>
      </w:r>
    </w:p>
    <w:p w14:paraId="5E4C0668" w14:textId="77777777" w:rsidR="00923A17" w:rsidRDefault="003C2263">
      <w:pPr>
        <w:pStyle w:val="Standard"/>
        <w:rPr>
          <w:sz w:val="20"/>
          <w:szCs w:val="20"/>
        </w:rPr>
      </w:pPr>
      <w:r w:rsidRPr="00F35290">
        <w:rPr>
          <w:sz w:val="20"/>
          <w:szCs w:val="20"/>
        </w:rPr>
        <w:t xml:space="preserve">razrađenoj dinamici za 2022. godinu, a sukladno Sporazumu o sufinanciranju projekta od strane </w:t>
      </w:r>
    </w:p>
    <w:p w14:paraId="6A4C5816" w14:textId="55169481" w:rsidR="00311937" w:rsidRPr="00F35290" w:rsidRDefault="003C2263">
      <w:pPr>
        <w:pStyle w:val="Standard"/>
        <w:rPr>
          <w:sz w:val="20"/>
          <w:szCs w:val="20"/>
        </w:rPr>
      </w:pPr>
      <w:bookmarkStart w:id="0" w:name="_GoBack"/>
      <w:bookmarkEnd w:id="0"/>
      <w:r w:rsidRPr="00F35290">
        <w:rPr>
          <w:sz w:val="20"/>
          <w:szCs w:val="20"/>
        </w:rPr>
        <w:t>društva u visini 15% ukupne vrijednosti projekta.</w:t>
      </w:r>
    </w:p>
    <w:p w14:paraId="566A8140" w14:textId="77777777" w:rsidR="00311937" w:rsidRPr="00F35290" w:rsidRDefault="003C2263">
      <w:pPr>
        <w:pStyle w:val="Standard"/>
        <w:rPr>
          <w:color w:val="000000"/>
          <w:sz w:val="20"/>
          <w:szCs w:val="20"/>
        </w:rPr>
      </w:pPr>
      <w:r w:rsidRPr="00F35290">
        <w:rPr>
          <w:color w:val="000000"/>
          <w:sz w:val="20"/>
          <w:szCs w:val="20"/>
        </w:rPr>
        <w:t xml:space="preserve">Planom nije predviđeno eventualno ostvarenje  razlike prihoda i rashoda.                                                                                            </w:t>
      </w:r>
    </w:p>
    <w:p w14:paraId="4EED47F2" w14:textId="77777777" w:rsidR="00311937" w:rsidRPr="00F35290" w:rsidRDefault="00311937">
      <w:pPr>
        <w:pStyle w:val="Standard"/>
        <w:rPr>
          <w:color w:val="000000"/>
          <w:sz w:val="20"/>
          <w:szCs w:val="20"/>
        </w:rPr>
      </w:pPr>
    </w:p>
    <w:p w14:paraId="7FEDE4A1" w14:textId="13EEA5B7" w:rsidR="00311937" w:rsidRPr="00F35290" w:rsidRDefault="003C2263">
      <w:pPr>
        <w:pStyle w:val="Standard"/>
        <w:rPr>
          <w:sz w:val="20"/>
          <w:szCs w:val="20"/>
        </w:rPr>
      </w:pPr>
      <w:r w:rsidRPr="00F35290">
        <w:rPr>
          <w:color w:val="000000"/>
          <w:sz w:val="20"/>
          <w:szCs w:val="20"/>
        </w:rPr>
        <w:t xml:space="preserve">                                     </w:t>
      </w:r>
      <w:r w:rsidRPr="00F35290">
        <w:rPr>
          <w:sz w:val="20"/>
          <w:szCs w:val="20"/>
        </w:rPr>
        <w:t xml:space="preserve">                                                         </w:t>
      </w:r>
      <w:r w:rsidR="00F35290">
        <w:rPr>
          <w:sz w:val="20"/>
          <w:szCs w:val="20"/>
        </w:rPr>
        <w:tab/>
      </w:r>
      <w:r w:rsidR="00F35290">
        <w:rPr>
          <w:sz w:val="20"/>
          <w:szCs w:val="20"/>
        </w:rPr>
        <w:tab/>
      </w:r>
      <w:r w:rsidR="00F35290">
        <w:rPr>
          <w:sz w:val="20"/>
          <w:szCs w:val="20"/>
        </w:rPr>
        <w:tab/>
      </w:r>
      <w:r w:rsidR="00F35290">
        <w:rPr>
          <w:sz w:val="20"/>
          <w:szCs w:val="20"/>
        </w:rPr>
        <w:tab/>
      </w:r>
      <w:r w:rsidRPr="00F35290">
        <w:rPr>
          <w:sz w:val="20"/>
          <w:szCs w:val="20"/>
        </w:rPr>
        <w:t xml:space="preserve">         Direktor</w:t>
      </w:r>
    </w:p>
    <w:p w14:paraId="28550980" w14:textId="0F16B1EB" w:rsidR="00311937" w:rsidRPr="00F35290" w:rsidRDefault="003C2263">
      <w:pPr>
        <w:pStyle w:val="Standard"/>
        <w:rPr>
          <w:sz w:val="20"/>
          <w:szCs w:val="20"/>
        </w:rPr>
      </w:pPr>
      <w:r w:rsidRPr="00F35290">
        <w:rPr>
          <w:sz w:val="20"/>
          <w:szCs w:val="20"/>
        </w:rPr>
        <w:t xml:space="preserve">                                                                                    </w:t>
      </w:r>
      <w:r w:rsidR="00F35290">
        <w:rPr>
          <w:sz w:val="20"/>
          <w:szCs w:val="20"/>
        </w:rPr>
        <w:tab/>
      </w:r>
      <w:r w:rsidR="00F35290">
        <w:rPr>
          <w:sz w:val="20"/>
          <w:szCs w:val="20"/>
        </w:rPr>
        <w:tab/>
      </w:r>
      <w:r w:rsidR="00F35290">
        <w:rPr>
          <w:sz w:val="20"/>
          <w:szCs w:val="20"/>
        </w:rPr>
        <w:tab/>
      </w:r>
      <w:r w:rsidR="00F35290">
        <w:rPr>
          <w:sz w:val="20"/>
          <w:szCs w:val="20"/>
        </w:rPr>
        <w:tab/>
      </w:r>
      <w:r w:rsidRPr="00F35290">
        <w:rPr>
          <w:sz w:val="20"/>
          <w:szCs w:val="20"/>
        </w:rPr>
        <w:t xml:space="preserve">         Valter Poropat.dipl.ing.el.</w:t>
      </w:r>
    </w:p>
    <w:p w14:paraId="51DE20D8" w14:textId="77777777" w:rsidR="00E2269A" w:rsidRDefault="003C2263">
      <w:pPr>
        <w:pStyle w:val="Standard"/>
        <w:sectPr w:rsidR="00E2269A">
          <w:pgSz w:w="11906" w:h="16838"/>
          <w:pgMar w:top="1134" w:right="1134" w:bottom="1134" w:left="1134" w:header="720" w:footer="720" w:gutter="0"/>
          <w:cols w:space="720"/>
        </w:sectPr>
      </w:pPr>
      <w:r w:rsidRPr="00F35290">
        <w:rPr>
          <w:sz w:val="20"/>
          <w:szCs w:val="20"/>
        </w:rPr>
        <w:t>Labin, 17.11.2021.</w:t>
      </w:r>
    </w:p>
    <w:p w14:paraId="5C8D1FDC" w14:textId="544AB27A" w:rsidR="00311937" w:rsidRDefault="00E2269A">
      <w:pPr>
        <w:pStyle w:val="Standard"/>
      </w:pPr>
      <w:r>
        <w:rPr>
          <w:noProof/>
          <w:lang w:eastAsia="hr-HR" w:bidi="ar-SA"/>
        </w:rPr>
        <w:lastRenderedPageBreak/>
        <w:drawing>
          <wp:inline distT="0" distB="0" distL="0" distR="0" wp14:anchorId="50ADCD35" wp14:editId="76288ADE">
            <wp:extent cx="6381750" cy="9085883"/>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png"/>
                    <pic:cNvPicPr/>
                  </pic:nvPicPr>
                  <pic:blipFill>
                    <a:blip r:embed="rId6">
                      <a:extLst>
                        <a:ext uri="{28A0092B-C50C-407E-A947-70E740481C1C}">
                          <a14:useLocalDpi xmlns:a14="http://schemas.microsoft.com/office/drawing/2010/main" val="0"/>
                        </a:ext>
                      </a:extLst>
                    </a:blip>
                    <a:stretch>
                      <a:fillRect/>
                    </a:stretch>
                  </pic:blipFill>
                  <pic:spPr>
                    <a:xfrm>
                      <a:off x="0" y="0"/>
                      <a:ext cx="6384324" cy="9089547"/>
                    </a:xfrm>
                    <a:prstGeom prst="rect">
                      <a:avLst/>
                    </a:prstGeom>
                  </pic:spPr>
                </pic:pic>
              </a:graphicData>
            </a:graphic>
          </wp:inline>
        </w:drawing>
      </w:r>
    </w:p>
    <w:sectPr w:rsidR="00311937" w:rsidSect="00E2269A">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D51B1" w14:textId="77777777" w:rsidR="00A66857" w:rsidRDefault="003C2263">
      <w:r>
        <w:separator/>
      </w:r>
    </w:p>
  </w:endnote>
  <w:endnote w:type="continuationSeparator" w:id="0">
    <w:p w14:paraId="330B4E46" w14:textId="77777777" w:rsidR="00A66857" w:rsidRDefault="003C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C1C08" w14:textId="77777777" w:rsidR="00A66857" w:rsidRDefault="003C2263">
      <w:r>
        <w:rPr>
          <w:color w:val="000000"/>
        </w:rPr>
        <w:separator/>
      </w:r>
    </w:p>
  </w:footnote>
  <w:footnote w:type="continuationSeparator" w:id="0">
    <w:p w14:paraId="34CFF060" w14:textId="77777777" w:rsidR="00A66857" w:rsidRDefault="003C2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37"/>
    <w:rsid w:val="00143048"/>
    <w:rsid w:val="002609FB"/>
    <w:rsid w:val="002A58B2"/>
    <w:rsid w:val="002D217F"/>
    <w:rsid w:val="002F3ABE"/>
    <w:rsid w:val="00311937"/>
    <w:rsid w:val="003510C8"/>
    <w:rsid w:val="003C2263"/>
    <w:rsid w:val="0040702C"/>
    <w:rsid w:val="004E344B"/>
    <w:rsid w:val="0060041A"/>
    <w:rsid w:val="00670D16"/>
    <w:rsid w:val="00874726"/>
    <w:rsid w:val="00923A17"/>
    <w:rsid w:val="00A32BF3"/>
    <w:rsid w:val="00A66857"/>
    <w:rsid w:val="00AA6564"/>
    <w:rsid w:val="00AC30F7"/>
    <w:rsid w:val="00AF5C8A"/>
    <w:rsid w:val="00B96EEF"/>
    <w:rsid w:val="00BC4D26"/>
    <w:rsid w:val="00BF38F6"/>
    <w:rsid w:val="00D55488"/>
    <w:rsid w:val="00E2269A"/>
    <w:rsid w:val="00E56C75"/>
    <w:rsid w:val="00E80D41"/>
    <w:rsid w:val="00F35290"/>
    <w:rsid w:val="00FE01BA"/>
    <w:rsid w:val="00FF5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41D1"/>
  <w15:docId w15:val="{B033D359-E54A-4AB5-98BB-C69C2F93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hr-H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suppressAutoHyphens/>
    </w:pPr>
  </w:style>
  <w:style w:type="paragraph" w:styleId="Naslov">
    <w:name w:val="Title"/>
    <w:basedOn w:val="Standard"/>
    <w:next w:val="Textbody"/>
    <w:uiPriority w:val="10"/>
    <w:qFormat/>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Podnaslov">
    <w:name w:val="Subtitle"/>
    <w:basedOn w:val="Naslov"/>
    <w:next w:val="Textbody"/>
    <w:uiPriority w:val="11"/>
    <w:qFormat/>
    <w:pPr>
      <w:jc w:val="center"/>
    </w:pPr>
    <w:rPr>
      <w:i/>
      <w:iCs/>
    </w:rPr>
  </w:style>
  <w:style w:type="paragraph" w:styleId="Popis">
    <w:name w:val="List"/>
    <w:basedOn w:val="Textbody"/>
  </w:style>
  <w:style w:type="paragraph" w:styleId="Opisslik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paragraph" w:styleId="Zaglavlje">
    <w:name w:val="header"/>
    <w:basedOn w:val="Normal"/>
    <w:link w:val="ZaglavljeChar"/>
    <w:uiPriority w:val="99"/>
    <w:unhideWhenUsed/>
    <w:rsid w:val="00AA6564"/>
    <w:pPr>
      <w:tabs>
        <w:tab w:val="center" w:pos="4536"/>
        <w:tab w:val="right" w:pos="9072"/>
      </w:tabs>
    </w:pPr>
    <w:rPr>
      <w:szCs w:val="21"/>
    </w:rPr>
  </w:style>
  <w:style w:type="character" w:customStyle="1" w:styleId="ZaglavljeChar">
    <w:name w:val="Zaglavlje Char"/>
    <w:basedOn w:val="Zadanifontodlomka"/>
    <w:link w:val="Zaglavlje"/>
    <w:uiPriority w:val="99"/>
    <w:rsid w:val="00AA6564"/>
    <w:rPr>
      <w:szCs w:val="21"/>
    </w:rPr>
  </w:style>
  <w:style w:type="paragraph" w:styleId="Podnoje">
    <w:name w:val="footer"/>
    <w:basedOn w:val="Normal"/>
    <w:link w:val="PodnojeChar"/>
    <w:uiPriority w:val="99"/>
    <w:unhideWhenUsed/>
    <w:rsid w:val="00AA6564"/>
    <w:pPr>
      <w:tabs>
        <w:tab w:val="center" w:pos="4536"/>
        <w:tab w:val="right" w:pos="9072"/>
      </w:tabs>
    </w:pPr>
    <w:rPr>
      <w:szCs w:val="21"/>
    </w:rPr>
  </w:style>
  <w:style w:type="character" w:customStyle="1" w:styleId="PodnojeChar">
    <w:name w:val="Podnožje Char"/>
    <w:basedOn w:val="Zadanifontodlomka"/>
    <w:link w:val="Podnoje"/>
    <w:uiPriority w:val="99"/>
    <w:rsid w:val="00AA6564"/>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616</Words>
  <Characters>3514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Valter Poropat</dc:creator>
  <cp:lastModifiedBy>Antonio Franković</cp:lastModifiedBy>
  <cp:revision>16</cp:revision>
  <cp:lastPrinted>2016-08-23T12:44:00Z</cp:lastPrinted>
  <dcterms:created xsi:type="dcterms:W3CDTF">2022-09-14T11:04:00Z</dcterms:created>
  <dcterms:modified xsi:type="dcterms:W3CDTF">2023-02-10T14:57:00Z</dcterms:modified>
</cp:coreProperties>
</file>